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9F" w:rsidRDefault="006C669F" w:rsidP="006C669F">
      <w:pPr>
        <w:spacing w:after="120"/>
        <w:rPr>
          <w:rFonts w:ascii="Arial" w:hAnsi="Arial" w:cs="Arial"/>
          <w:b/>
          <w:noProof/>
          <w:sz w:val="28"/>
          <w:szCs w:val="28"/>
          <w:lang w:val="en-US"/>
        </w:rPr>
      </w:pPr>
      <w:r>
        <w:rPr>
          <w:rFonts w:ascii="Arial" w:hAnsi="Arial" w:cs="Arial"/>
          <w:b/>
          <w:noProof/>
          <w:sz w:val="28"/>
          <w:szCs w:val="28"/>
          <w:lang w:val="en-US"/>
        </w:rPr>
        <w:t>Measuring diffusion and polymer/water partition coefficients of halogenated flame retardants in silicone rubber polymer: parameters for passive sampling in water</w:t>
      </w:r>
    </w:p>
    <w:p w:rsidR="006C669F" w:rsidRDefault="006C669F" w:rsidP="006C669F">
      <w:pPr>
        <w:spacing w:after="120"/>
        <w:rPr>
          <w:rFonts w:ascii="Arial" w:hAnsi="Arial" w:cs="Arial"/>
          <w:b/>
          <w:noProof/>
          <w:sz w:val="32"/>
          <w:szCs w:val="32"/>
          <w:lang w:val="en-US"/>
        </w:rPr>
      </w:pPr>
    </w:p>
    <w:p w:rsidR="006C669F" w:rsidRDefault="006C669F" w:rsidP="006C669F">
      <w:pPr>
        <w:spacing w:after="120"/>
        <w:rPr>
          <w:rFonts w:ascii="Arial" w:hAnsi="Arial" w:cs="Arial"/>
          <w:smallCaps/>
          <w:noProof/>
          <w:vertAlign w:val="superscript"/>
          <w:lang w:val="en-US"/>
        </w:rPr>
      </w:pPr>
      <w:r>
        <w:rPr>
          <w:rFonts w:ascii="Arial" w:hAnsi="Arial" w:cs="Arial"/>
          <w:smallCaps/>
          <w:noProof/>
          <w:u w:val="single"/>
          <w:lang w:val="en-US"/>
        </w:rPr>
        <w:t>Krzysztof Okonski</w:t>
      </w:r>
      <w:r>
        <w:rPr>
          <w:rFonts w:ascii="Arial" w:hAnsi="Arial" w:cs="Arial"/>
          <w:smallCaps/>
          <w:noProof/>
          <w:u w:val="single"/>
          <w:vertAlign w:val="superscript"/>
          <w:lang w:val="en-US"/>
        </w:rPr>
        <w:t>1</w:t>
      </w:r>
      <w:r>
        <w:rPr>
          <w:rFonts w:ascii="Arial" w:hAnsi="Arial" w:cs="Arial"/>
          <w:smallCaps/>
          <w:noProof/>
          <w:lang w:val="en-US"/>
        </w:rPr>
        <w:t>, Tatsiana Rusina</w:t>
      </w:r>
      <w:r>
        <w:rPr>
          <w:rFonts w:ascii="Arial" w:hAnsi="Arial" w:cs="Arial"/>
          <w:smallCaps/>
          <w:noProof/>
          <w:vertAlign w:val="superscript"/>
          <w:lang w:val="en-US"/>
        </w:rPr>
        <w:t>1</w:t>
      </w:r>
      <w:r>
        <w:rPr>
          <w:rFonts w:ascii="Arial" w:hAnsi="Arial" w:cs="Arial"/>
          <w:smallCaps/>
          <w:noProof/>
          <w:lang w:val="en-US"/>
        </w:rPr>
        <w:t>, Foppe Smedes</w:t>
      </w:r>
      <w:r>
        <w:rPr>
          <w:rFonts w:ascii="Arial" w:hAnsi="Arial" w:cs="Arial"/>
          <w:smallCaps/>
          <w:noProof/>
          <w:vertAlign w:val="superscript"/>
          <w:lang w:val="en-US"/>
        </w:rPr>
        <w:t>1,2</w:t>
      </w:r>
      <w:r>
        <w:rPr>
          <w:rFonts w:ascii="Arial" w:hAnsi="Arial" w:cs="Arial"/>
          <w:smallCaps/>
          <w:noProof/>
          <w:lang w:val="en-US"/>
        </w:rPr>
        <w:t>, Branislav Vrana</w:t>
      </w:r>
      <w:r>
        <w:rPr>
          <w:rFonts w:ascii="Arial" w:hAnsi="Arial" w:cs="Arial"/>
          <w:smallCaps/>
          <w:noProof/>
          <w:vertAlign w:val="superscript"/>
          <w:lang w:val="en-US"/>
        </w:rPr>
        <w:t>1</w:t>
      </w:r>
    </w:p>
    <w:p w:rsidR="006C669F" w:rsidRPr="00C02889" w:rsidRDefault="006C669F" w:rsidP="006C669F">
      <w:pPr>
        <w:pStyle w:val="Default"/>
        <w:rPr>
          <w:color w:val="auto"/>
          <w:sz w:val="18"/>
          <w:szCs w:val="18"/>
          <w:lang w:val="en-US"/>
        </w:rPr>
      </w:pPr>
      <w:r>
        <w:rPr>
          <w:noProof/>
          <w:sz w:val="18"/>
          <w:szCs w:val="18"/>
          <w:vertAlign w:val="superscript"/>
          <w:lang w:val="en-US"/>
        </w:rPr>
        <w:t xml:space="preserve">1 </w:t>
      </w:r>
      <w:r>
        <w:rPr>
          <w:sz w:val="18"/>
          <w:szCs w:val="18"/>
          <w:lang w:val="en-US"/>
        </w:rPr>
        <w:t xml:space="preserve">Masaryk University, Recetox, </w:t>
      </w:r>
      <w:proofErr w:type="spellStart"/>
      <w:r>
        <w:rPr>
          <w:sz w:val="18"/>
          <w:szCs w:val="18"/>
          <w:lang w:val="en-US"/>
        </w:rPr>
        <w:t>Kamenice</w:t>
      </w:r>
      <w:proofErr w:type="spellEnd"/>
      <w:r>
        <w:rPr>
          <w:sz w:val="18"/>
          <w:szCs w:val="18"/>
          <w:lang w:val="en-US"/>
        </w:rPr>
        <w:t xml:space="preserve"> 753/5-A29, 62 500, Brno, </w:t>
      </w:r>
      <w:r w:rsidR="00C02889">
        <w:rPr>
          <w:sz w:val="18"/>
          <w:szCs w:val="18"/>
          <w:lang w:val="en-US"/>
        </w:rPr>
        <w:t xml:space="preserve">The </w:t>
      </w:r>
      <w:r>
        <w:rPr>
          <w:sz w:val="18"/>
          <w:szCs w:val="18"/>
          <w:lang w:val="en-US"/>
        </w:rPr>
        <w:t>Czech Republic</w:t>
      </w:r>
      <w:r w:rsidR="004E0F15">
        <w:rPr>
          <w:sz w:val="18"/>
          <w:szCs w:val="18"/>
          <w:lang w:val="en-US"/>
        </w:rPr>
        <w:t xml:space="preserve">, </w:t>
      </w:r>
      <w:hyperlink r:id="rId5" w:history="1">
        <w:r w:rsidR="004E0F15">
          <w:rPr>
            <w:rStyle w:val="Hyperlink"/>
            <w:sz w:val="18"/>
            <w:szCs w:val="18"/>
            <w:lang w:val="en-US"/>
          </w:rPr>
          <w:t>okonski@recetox.muni.cz</w:t>
        </w:r>
      </w:hyperlink>
      <w:r w:rsidR="00C02889">
        <w:rPr>
          <w:color w:val="auto"/>
          <w:sz w:val="18"/>
          <w:szCs w:val="18"/>
          <w:lang w:val="en-US"/>
        </w:rPr>
        <w:t xml:space="preserve">, </w:t>
      </w:r>
      <w:hyperlink r:id="rId6" w:history="1">
        <w:r w:rsidR="004E0F15" w:rsidRPr="004E0F15">
          <w:rPr>
            <w:rStyle w:val="Hyperlink"/>
            <w:color w:val="000000" w:themeColor="text1"/>
            <w:sz w:val="18"/>
            <w:szCs w:val="18"/>
            <w:u w:val="none"/>
          </w:rPr>
          <w:t>vrana@recetox.muni.cz</w:t>
        </w:r>
      </w:hyperlink>
      <w:r w:rsidR="004E0F15" w:rsidRPr="004E0F15">
        <w:rPr>
          <w:color w:val="000000" w:themeColor="text1"/>
          <w:sz w:val="18"/>
          <w:szCs w:val="18"/>
        </w:rPr>
        <w:t xml:space="preserve">, </w:t>
      </w:r>
      <w:hyperlink r:id="rId7" w:history="1">
        <w:r w:rsidR="004E0F15" w:rsidRPr="004E0F15">
          <w:rPr>
            <w:rStyle w:val="Hyperlink"/>
            <w:color w:val="000000" w:themeColor="text1"/>
            <w:sz w:val="18"/>
            <w:szCs w:val="18"/>
            <w:u w:val="none"/>
          </w:rPr>
          <w:t>rusina@recetox.muni.cz</w:t>
        </w:r>
      </w:hyperlink>
      <w:r w:rsidR="004E0F15" w:rsidRPr="004E0F15">
        <w:rPr>
          <w:color w:val="000000" w:themeColor="text1"/>
          <w:sz w:val="18"/>
          <w:szCs w:val="18"/>
        </w:rPr>
        <w:t xml:space="preserve"> </w:t>
      </w:r>
    </w:p>
    <w:p w:rsidR="006C669F" w:rsidRDefault="006C669F" w:rsidP="006C669F">
      <w:pPr>
        <w:pStyle w:val="Default"/>
        <w:rPr>
          <w:color w:val="auto"/>
          <w:sz w:val="18"/>
          <w:szCs w:val="18"/>
          <w:lang w:val="en-US"/>
        </w:rPr>
      </w:pPr>
      <w:proofErr w:type="gramStart"/>
      <w:r>
        <w:rPr>
          <w:noProof/>
          <w:sz w:val="18"/>
          <w:szCs w:val="18"/>
          <w:vertAlign w:val="superscript"/>
          <w:lang w:val="en-US"/>
        </w:rPr>
        <w:t xml:space="preserve">2 </w:t>
      </w:r>
      <w:proofErr w:type="spellStart"/>
      <w:r>
        <w:rPr>
          <w:sz w:val="18"/>
          <w:szCs w:val="18"/>
          <w:lang w:val="en-US"/>
        </w:rPr>
        <w:t>Deltares</w:t>
      </w:r>
      <w:proofErr w:type="spellEnd"/>
      <w:r>
        <w:rPr>
          <w:sz w:val="18"/>
          <w:szCs w:val="18"/>
          <w:lang w:val="en-US"/>
        </w:rPr>
        <w:t>, PO.</w:t>
      </w:r>
      <w:proofErr w:type="gramEnd"/>
      <w:r>
        <w:rPr>
          <w:sz w:val="18"/>
          <w:szCs w:val="18"/>
          <w:lang w:val="en-US"/>
        </w:rPr>
        <w:t xml:space="preserve"> </w:t>
      </w:r>
      <w:r w:rsidR="00C02889">
        <w:rPr>
          <w:sz w:val="18"/>
          <w:szCs w:val="18"/>
          <w:lang w:val="en-US"/>
        </w:rPr>
        <w:t xml:space="preserve">Box 85467, 3508 AL Utrecht, </w:t>
      </w:r>
      <w:proofErr w:type="gramStart"/>
      <w:r w:rsidR="00C02889">
        <w:rPr>
          <w:sz w:val="18"/>
          <w:szCs w:val="18"/>
          <w:lang w:val="en-US"/>
        </w:rPr>
        <w:t>The</w:t>
      </w:r>
      <w:proofErr w:type="gramEnd"/>
      <w:r w:rsidR="00C02889">
        <w:rPr>
          <w:sz w:val="18"/>
          <w:szCs w:val="18"/>
          <w:lang w:val="en-US"/>
        </w:rPr>
        <w:t xml:space="preserve"> </w:t>
      </w:r>
      <w:r>
        <w:rPr>
          <w:sz w:val="18"/>
          <w:szCs w:val="18"/>
          <w:lang w:val="en-US"/>
        </w:rPr>
        <w:t xml:space="preserve">Netherlands, </w:t>
      </w:r>
      <w:hyperlink r:id="rId8" w:history="1">
        <w:r>
          <w:rPr>
            <w:rStyle w:val="Hyperlink"/>
            <w:color w:val="auto"/>
            <w:sz w:val="18"/>
            <w:szCs w:val="18"/>
            <w:u w:val="none"/>
            <w:lang w:val="en-US"/>
          </w:rPr>
          <w:t>Foppe.Smedes@deltares.nl</w:t>
        </w:r>
      </w:hyperlink>
    </w:p>
    <w:p w:rsidR="006C669F" w:rsidRDefault="006C669F" w:rsidP="006C669F">
      <w:pPr>
        <w:pStyle w:val="Default"/>
        <w:rPr>
          <w:color w:val="auto"/>
          <w:sz w:val="18"/>
          <w:szCs w:val="18"/>
          <w:lang w:val="en-US"/>
        </w:rPr>
      </w:pPr>
    </w:p>
    <w:p w:rsidR="006C669F" w:rsidRDefault="006C669F" w:rsidP="006C669F">
      <w:pPr>
        <w:pStyle w:val="Default"/>
        <w:jc w:val="both"/>
        <w:rPr>
          <w:color w:val="auto"/>
          <w:sz w:val="18"/>
          <w:szCs w:val="18"/>
          <w:lang w:val="en-US"/>
        </w:rPr>
      </w:pPr>
    </w:p>
    <w:p w:rsidR="006C669F" w:rsidRDefault="006C669F" w:rsidP="006C669F">
      <w:pPr>
        <w:pStyle w:val="Default"/>
        <w:jc w:val="both"/>
        <w:rPr>
          <w:color w:val="auto"/>
          <w:sz w:val="18"/>
          <w:szCs w:val="18"/>
          <w:lang w:val="en-US"/>
        </w:rPr>
      </w:pPr>
      <w:r>
        <w:rPr>
          <w:color w:val="auto"/>
          <w:sz w:val="18"/>
          <w:szCs w:val="18"/>
          <w:lang w:val="en-US"/>
        </w:rPr>
        <w:t xml:space="preserve">Passive sampling techniques are used as a tool for measuring freely dissolved concentrations of many chemicals in the aquatic environment. This approach is especially useful for monitoring compounds present in water at sub </w:t>
      </w:r>
      <w:proofErr w:type="spellStart"/>
      <w:r>
        <w:rPr>
          <w:color w:val="auto"/>
          <w:sz w:val="18"/>
          <w:szCs w:val="18"/>
          <w:lang w:val="en-US"/>
        </w:rPr>
        <w:t>ng</w:t>
      </w:r>
      <w:proofErr w:type="spellEnd"/>
      <w:r>
        <w:rPr>
          <w:color w:val="auto"/>
          <w:sz w:val="18"/>
          <w:szCs w:val="18"/>
          <w:lang w:val="en-US"/>
        </w:rPr>
        <w:t>/l concentrations, which would otherwise require sampling of large volume of water to achieve required limit of detection. Moreover, freely dissolved concentrations derived from passive sampling are better related to the exposure risk that aquatic organisms experience than total concentrations measured by most other sampling techniques. Many non-polar chemicals can be sampled by silicone rubber passive samplers, based on poly-</w:t>
      </w:r>
      <w:proofErr w:type="spellStart"/>
      <w:r>
        <w:rPr>
          <w:color w:val="auto"/>
          <w:sz w:val="18"/>
          <w:szCs w:val="18"/>
          <w:lang w:val="en-US"/>
        </w:rPr>
        <w:t>dimethylsiloxane</w:t>
      </w:r>
      <w:proofErr w:type="spellEnd"/>
      <w:r>
        <w:rPr>
          <w:color w:val="auto"/>
          <w:sz w:val="18"/>
          <w:szCs w:val="18"/>
          <w:lang w:val="en-US"/>
        </w:rPr>
        <w:t>.</w:t>
      </w:r>
    </w:p>
    <w:p w:rsidR="006C669F" w:rsidRDefault="006C669F" w:rsidP="006C669F">
      <w:pPr>
        <w:pStyle w:val="Default"/>
        <w:jc w:val="both"/>
        <w:rPr>
          <w:color w:val="auto"/>
          <w:sz w:val="18"/>
          <w:szCs w:val="18"/>
          <w:lang w:val="en-US"/>
        </w:rPr>
      </w:pPr>
      <w:r>
        <w:rPr>
          <w:color w:val="auto"/>
          <w:sz w:val="18"/>
          <w:szCs w:val="18"/>
          <w:lang w:val="en-US"/>
        </w:rPr>
        <w:t>In case samplers are in equilibrium with e.g. sampled water sampler-water partition coefficient (</w:t>
      </w:r>
      <w:proofErr w:type="spellStart"/>
      <w:r>
        <w:rPr>
          <w:color w:val="auto"/>
          <w:sz w:val="18"/>
          <w:szCs w:val="18"/>
          <w:lang w:val="en-US"/>
        </w:rPr>
        <w:t>K</w:t>
      </w:r>
      <w:r>
        <w:rPr>
          <w:color w:val="auto"/>
          <w:sz w:val="18"/>
          <w:szCs w:val="18"/>
          <w:vertAlign w:val="subscript"/>
          <w:lang w:val="en-US"/>
        </w:rPr>
        <w:t>sw</w:t>
      </w:r>
      <w:proofErr w:type="spellEnd"/>
      <w:r>
        <w:rPr>
          <w:color w:val="auto"/>
          <w:sz w:val="18"/>
          <w:szCs w:val="18"/>
          <w:lang w:val="en-US"/>
        </w:rPr>
        <w:t xml:space="preserve">) are required to derive the concentration of a chemical in the water phase from the amount accumulated in the sampler.  In case no equilibrium is attained aqueous concentration can be estimated by sampler water exchange models that can be in situ calibrated from the release of performance reference compounds (PRCs) dosed to the sampler prior to exposure </w:t>
      </w:r>
      <w:r w:rsidR="00F73659">
        <w:rPr>
          <w:color w:val="auto"/>
          <w:sz w:val="18"/>
          <w:szCs w:val="18"/>
          <w:lang w:val="en-US"/>
        </w:rPr>
        <w:t>(</w:t>
      </w:r>
      <w:r>
        <w:rPr>
          <w:color w:val="auto"/>
          <w:sz w:val="18"/>
          <w:szCs w:val="18"/>
          <w:lang w:val="en-US"/>
        </w:rPr>
        <w:t xml:space="preserve">Rusina </w:t>
      </w:r>
      <w:r w:rsidR="00F73659">
        <w:rPr>
          <w:color w:val="auto"/>
          <w:sz w:val="18"/>
          <w:szCs w:val="18"/>
          <w:lang w:val="en-US"/>
        </w:rPr>
        <w:t>et al., 2010</w:t>
      </w:r>
      <w:r>
        <w:rPr>
          <w:color w:val="auto"/>
          <w:sz w:val="18"/>
          <w:szCs w:val="18"/>
          <w:lang w:val="en-US"/>
        </w:rPr>
        <w:t>).</w:t>
      </w:r>
      <w:r w:rsidR="00F73659">
        <w:rPr>
          <w:color w:val="auto"/>
          <w:sz w:val="18"/>
          <w:szCs w:val="18"/>
          <w:lang w:val="en-US"/>
        </w:rPr>
        <w:t xml:space="preserve"> </w:t>
      </w:r>
      <w:r>
        <w:rPr>
          <w:color w:val="auto"/>
          <w:sz w:val="18"/>
          <w:szCs w:val="18"/>
          <w:lang w:val="en-US"/>
        </w:rPr>
        <w:t xml:space="preserve">Such models consider that uptake is controlled by the water boundary layer (WBL) at the surface of the sampler. Consequently their application requires that internal transport resistance is sufficiently low, i.e. does not limit the uptake rate. This can be confirmed by measuring the diffusion coefficients inside the sampler material.  </w:t>
      </w:r>
    </w:p>
    <w:p w:rsidR="006C669F" w:rsidRDefault="006C669F" w:rsidP="006C669F">
      <w:pPr>
        <w:pStyle w:val="Default"/>
        <w:jc w:val="both"/>
        <w:rPr>
          <w:color w:val="auto"/>
          <w:sz w:val="18"/>
          <w:szCs w:val="18"/>
          <w:lang w:val="en-US"/>
        </w:rPr>
      </w:pPr>
      <w:r>
        <w:rPr>
          <w:color w:val="auto"/>
          <w:sz w:val="18"/>
          <w:szCs w:val="18"/>
          <w:lang w:val="en-US"/>
        </w:rPr>
        <w:t xml:space="preserve">The diffusion and partition coefficients have been measured for a number of halogenated flame retardants, namely </w:t>
      </w:r>
      <w:proofErr w:type="spellStart"/>
      <w:r>
        <w:rPr>
          <w:color w:val="auto"/>
          <w:sz w:val="18"/>
          <w:szCs w:val="18"/>
          <w:lang w:val="en-US"/>
        </w:rPr>
        <w:t>polybrominated</w:t>
      </w:r>
      <w:proofErr w:type="spellEnd"/>
      <w:r>
        <w:rPr>
          <w:color w:val="auto"/>
          <w:sz w:val="18"/>
          <w:szCs w:val="18"/>
          <w:lang w:val="en-US"/>
        </w:rPr>
        <w:t xml:space="preserve"> </w:t>
      </w:r>
      <w:proofErr w:type="spellStart"/>
      <w:r>
        <w:rPr>
          <w:color w:val="auto"/>
          <w:sz w:val="18"/>
          <w:szCs w:val="18"/>
          <w:lang w:val="en-US"/>
        </w:rPr>
        <w:t>diphenyl</w:t>
      </w:r>
      <w:proofErr w:type="spellEnd"/>
      <w:r>
        <w:rPr>
          <w:color w:val="auto"/>
          <w:sz w:val="18"/>
          <w:szCs w:val="18"/>
          <w:lang w:val="en-US"/>
        </w:rPr>
        <w:t xml:space="preserve"> ethers (PBDEs), novel </w:t>
      </w:r>
      <w:proofErr w:type="spellStart"/>
      <w:r>
        <w:rPr>
          <w:color w:val="auto"/>
          <w:sz w:val="18"/>
          <w:szCs w:val="18"/>
          <w:lang w:val="en-US"/>
        </w:rPr>
        <w:t>brominated</w:t>
      </w:r>
      <w:proofErr w:type="spellEnd"/>
      <w:r>
        <w:rPr>
          <w:color w:val="auto"/>
          <w:sz w:val="18"/>
          <w:szCs w:val="18"/>
          <w:lang w:val="en-US"/>
        </w:rPr>
        <w:t xml:space="preserve"> flame retardants (NBFRs), </w:t>
      </w:r>
      <w:proofErr w:type="spellStart"/>
      <w:r>
        <w:rPr>
          <w:color w:val="auto"/>
          <w:sz w:val="18"/>
          <w:szCs w:val="18"/>
          <w:lang w:val="en-US"/>
        </w:rPr>
        <w:t>dechlorane</w:t>
      </w:r>
      <w:proofErr w:type="spellEnd"/>
      <w:r>
        <w:rPr>
          <w:color w:val="auto"/>
          <w:sz w:val="18"/>
          <w:szCs w:val="18"/>
          <w:lang w:val="en-US"/>
        </w:rPr>
        <w:t xml:space="preserve"> plus (DP), </w:t>
      </w:r>
      <w:proofErr w:type="spellStart"/>
      <w:r>
        <w:rPr>
          <w:color w:val="auto"/>
          <w:sz w:val="18"/>
          <w:szCs w:val="18"/>
          <w:lang w:val="en-US"/>
        </w:rPr>
        <w:t>hexabromocyclododecane</w:t>
      </w:r>
      <w:proofErr w:type="spellEnd"/>
      <w:r>
        <w:rPr>
          <w:color w:val="auto"/>
          <w:sz w:val="18"/>
          <w:szCs w:val="18"/>
          <w:lang w:val="en-US"/>
        </w:rPr>
        <w:t xml:space="preserve"> (HBCD) and </w:t>
      </w:r>
      <w:proofErr w:type="spellStart"/>
      <w:r>
        <w:rPr>
          <w:color w:val="auto"/>
          <w:sz w:val="18"/>
          <w:szCs w:val="18"/>
          <w:lang w:val="en-US"/>
        </w:rPr>
        <w:t>tetrabromobisphenol</w:t>
      </w:r>
      <w:proofErr w:type="spellEnd"/>
      <w:r>
        <w:rPr>
          <w:color w:val="auto"/>
          <w:sz w:val="18"/>
          <w:szCs w:val="18"/>
          <w:lang w:val="en-US"/>
        </w:rPr>
        <w:t xml:space="preserve"> A (TBBPA). Measurement of diffusion coefficients was performed by “film-staking method” </w:t>
      </w:r>
      <w:r w:rsidR="004E0F15">
        <w:rPr>
          <w:color w:val="auto"/>
          <w:sz w:val="18"/>
          <w:szCs w:val="18"/>
          <w:lang w:val="en-US"/>
        </w:rPr>
        <w:t>(</w:t>
      </w:r>
      <w:r>
        <w:rPr>
          <w:color w:val="auto"/>
          <w:sz w:val="18"/>
          <w:szCs w:val="18"/>
          <w:lang w:val="en-US"/>
        </w:rPr>
        <w:t>Rusina et al.</w:t>
      </w:r>
      <w:r w:rsidR="004E0F15">
        <w:rPr>
          <w:color w:val="auto"/>
          <w:sz w:val="18"/>
          <w:szCs w:val="18"/>
          <w:lang w:val="en-US"/>
        </w:rPr>
        <w:t>,</w:t>
      </w:r>
      <w:r w:rsidR="00C02889">
        <w:rPr>
          <w:color w:val="auto"/>
          <w:sz w:val="18"/>
          <w:szCs w:val="18"/>
          <w:lang w:val="en-US"/>
        </w:rPr>
        <w:t xml:space="preserve"> </w:t>
      </w:r>
      <w:r>
        <w:rPr>
          <w:color w:val="auto"/>
          <w:sz w:val="18"/>
          <w:szCs w:val="18"/>
          <w:lang w:val="en-US"/>
        </w:rPr>
        <w:t>2010). Measurement of polymer/water partition coefficients was performed by “co-solvent” method (Smedes et al.</w:t>
      </w:r>
      <w:r w:rsidR="004E0F15">
        <w:rPr>
          <w:color w:val="auto"/>
          <w:sz w:val="18"/>
          <w:szCs w:val="18"/>
          <w:lang w:val="en-US"/>
        </w:rPr>
        <w:t>,</w:t>
      </w:r>
      <w:r w:rsidR="00C02889">
        <w:rPr>
          <w:color w:val="auto"/>
          <w:sz w:val="18"/>
          <w:szCs w:val="18"/>
          <w:lang w:val="en-US"/>
        </w:rPr>
        <w:t xml:space="preserve"> </w:t>
      </w:r>
      <w:r w:rsidR="004E0F15">
        <w:rPr>
          <w:color w:val="auto"/>
          <w:sz w:val="18"/>
          <w:szCs w:val="18"/>
          <w:lang w:val="en-US"/>
        </w:rPr>
        <w:t>2009</w:t>
      </w:r>
      <w:r>
        <w:rPr>
          <w:color w:val="auto"/>
          <w:sz w:val="18"/>
          <w:szCs w:val="18"/>
          <w:lang w:val="en-US"/>
        </w:rPr>
        <w:t>).</w:t>
      </w:r>
    </w:p>
    <w:p w:rsidR="00C02889" w:rsidRDefault="00C02889" w:rsidP="006C669F">
      <w:pPr>
        <w:pStyle w:val="Default"/>
        <w:jc w:val="both"/>
        <w:rPr>
          <w:color w:val="auto"/>
          <w:sz w:val="18"/>
          <w:szCs w:val="18"/>
          <w:lang w:val="en-US"/>
        </w:rPr>
      </w:pPr>
      <w:r>
        <w:rPr>
          <w:color w:val="auto"/>
          <w:sz w:val="18"/>
          <w:szCs w:val="18"/>
          <w:lang w:val="en-US"/>
        </w:rPr>
        <w:t>The preliminary results indicate that for the majority of compounds measured</w:t>
      </w:r>
      <w:r w:rsidRPr="003F13BD">
        <w:rPr>
          <w:color w:val="auto"/>
          <w:sz w:val="18"/>
          <w:szCs w:val="18"/>
          <w:lang w:val="en-US"/>
        </w:rPr>
        <w:t xml:space="preserve"> D values for in </w:t>
      </w:r>
      <w:r>
        <w:rPr>
          <w:color w:val="auto"/>
          <w:sz w:val="18"/>
          <w:szCs w:val="18"/>
          <w:lang w:val="en-US"/>
        </w:rPr>
        <w:t>silicone rubber</w:t>
      </w:r>
      <w:r w:rsidRPr="003F13BD">
        <w:rPr>
          <w:color w:val="auto"/>
          <w:sz w:val="18"/>
          <w:szCs w:val="18"/>
          <w:lang w:val="en-US"/>
        </w:rPr>
        <w:t xml:space="preserve"> were related to compound properties and structure</w:t>
      </w:r>
      <w:r w:rsidR="00D5358E">
        <w:rPr>
          <w:color w:val="auto"/>
          <w:sz w:val="18"/>
          <w:szCs w:val="18"/>
          <w:lang w:val="en-US"/>
        </w:rPr>
        <w:t xml:space="preserve">. </w:t>
      </w:r>
      <w:r>
        <w:rPr>
          <w:color w:val="auto"/>
          <w:sz w:val="18"/>
          <w:szCs w:val="18"/>
          <w:lang w:val="en-US"/>
        </w:rPr>
        <w:t xml:space="preserve">The measured D values are in line with the models that estimate the magnitude of D from the molecular size/molecular total surface area (TSA). At the moment of abstract submission, measurement of </w:t>
      </w:r>
      <w:proofErr w:type="spellStart"/>
      <w:r w:rsidRPr="00ED2034">
        <w:rPr>
          <w:i/>
          <w:color w:val="auto"/>
          <w:sz w:val="18"/>
          <w:szCs w:val="18"/>
          <w:lang w:val="en-US"/>
        </w:rPr>
        <w:t>K</w:t>
      </w:r>
      <w:r w:rsidRPr="00ED2034">
        <w:rPr>
          <w:color w:val="auto"/>
          <w:sz w:val="18"/>
          <w:szCs w:val="18"/>
          <w:vertAlign w:val="subscript"/>
          <w:lang w:val="en-US"/>
        </w:rPr>
        <w:t>sw</w:t>
      </w:r>
      <w:proofErr w:type="spellEnd"/>
      <w:r>
        <w:rPr>
          <w:color w:val="auto"/>
          <w:sz w:val="18"/>
          <w:szCs w:val="18"/>
          <w:lang w:val="en-US"/>
        </w:rPr>
        <w:t xml:space="preserve"> values is still ongoing.</w:t>
      </w:r>
    </w:p>
    <w:p w:rsidR="006C669F" w:rsidRDefault="006C669F" w:rsidP="006C669F">
      <w:pPr>
        <w:pStyle w:val="Default"/>
        <w:jc w:val="both"/>
        <w:rPr>
          <w:color w:val="auto"/>
          <w:sz w:val="18"/>
          <w:szCs w:val="18"/>
          <w:lang w:val="en-US"/>
        </w:rPr>
      </w:pPr>
      <w:r>
        <w:rPr>
          <w:color w:val="auto"/>
          <w:sz w:val="18"/>
          <w:szCs w:val="18"/>
          <w:lang w:val="en-US"/>
        </w:rPr>
        <w:t xml:space="preserve">The available values of diffusion and partition coefficient allowed to evaluate in which cases the compound diffusion in polymer may control the uptake and the generally applied WBL models are not applicable. Obtained </w:t>
      </w:r>
      <w:proofErr w:type="spellStart"/>
      <w:r w:rsidRPr="00171BAB">
        <w:rPr>
          <w:i/>
          <w:color w:val="auto"/>
          <w:sz w:val="18"/>
          <w:szCs w:val="18"/>
          <w:lang w:val="en-US"/>
        </w:rPr>
        <w:t>K</w:t>
      </w:r>
      <w:r w:rsidRPr="00171BAB">
        <w:rPr>
          <w:color w:val="auto"/>
          <w:sz w:val="18"/>
          <w:szCs w:val="18"/>
          <w:vertAlign w:val="subscript"/>
          <w:lang w:val="en-US"/>
        </w:rPr>
        <w:t>sw</w:t>
      </w:r>
      <w:proofErr w:type="spellEnd"/>
      <w:r>
        <w:rPr>
          <w:color w:val="auto"/>
          <w:sz w:val="18"/>
          <w:szCs w:val="18"/>
          <w:lang w:val="en-US"/>
        </w:rPr>
        <w:t xml:space="preserve"> values can be </w:t>
      </w:r>
      <w:proofErr w:type="spellStart"/>
      <w:r>
        <w:rPr>
          <w:color w:val="auto"/>
          <w:sz w:val="18"/>
          <w:szCs w:val="18"/>
          <w:lang w:val="en-US"/>
        </w:rPr>
        <w:t>appled</w:t>
      </w:r>
      <w:proofErr w:type="spellEnd"/>
      <w:r>
        <w:rPr>
          <w:color w:val="auto"/>
          <w:sz w:val="18"/>
          <w:szCs w:val="18"/>
          <w:lang w:val="en-US"/>
        </w:rPr>
        <w:t xml:space="preserve"> to derive </w:t>
      </w:r>
      <w:proofErr w:type="spellStart"/>
      <w:r>
        <w:rPr>
          <w:color w:val="auto"/>
          <w:sz w:val="18"/>
          <w:szCs w:val="18"/>
          <w:lang w:val="en-US"/>
        </w:rPr>
        <w:t>aquous</w:t>
      </w:r>
      <w:proofErr w:type="spellEnd"/>
      <w:r>
        <w:rPr>
          <w:color w:val="auto"/>
          <w:sz w:val="18"/>
          <w:szCs w:val="18"/>
          <w:lang w:val="en-US"/>
        </w:rPr>
        <w:t xml:space="preserve"> concentrations in equilibrium passive sampling methods.</w:t>
      </w:r>
    </w:p>
    <w:p w:rsidR="006C669F" w:rsidRDefault="006C669F" w:rsidP="006C669F">
      <w:pPr>
        <w:pStyle w:val="Default"/>
        <w:rPr>
          <w:color w:val="auto"/>
          <w:sz w:val="18"/>
          <w:szCs w:val="18"/>
          <w:lang w:val="en-US"/>
        </w:rPr>
      </w:pPr>
    </w:p>
    <w:p w:rsidR="006C669F" w:rsidRDefault="006C669F" w:rsidP="006C669F">
      <w:pPr>
        <w:jc w:val="both"/>
        <w:rPr>
          <w:rFonts w:ascii="Arial" w:hAnsi="Arial" w:cs="Arial"/>
          <w:noProof/>
          <w:sz w:val="18"/>
          <w:szCs w:val="18"/>
          <w:lang w:val="fr-FR"/>
        </w:rPr>
      </w:pPr>
      <w:r>
        <w:rPr>
          <w:rFonts w:ascii="Arial" w:hAnsi="Arial" w:cs="Arial"/>
          <w:noProof/>
          <w:sz w:val="18"/>
          <w:szCs w:val="18"/>
          <w:lang w:val="fr-FR"/>
        </w:rPr>
        <w:t>References:</w:t>
      </w:r>
    </w:p>
    <w:p w:rsidR="00F73659" w:rsidRPr="00F73659" w:rsidRDefault="00F73659" w:rsidP="00F73659">
      <w:pPr>
        <w:spacing w:before="100" w:beforeAutospacing="1" w:after="100" w:afterAutospacing="1"/>
        <w:ind w:left="480" w:hanging="480"/>
        <w:jc w:val="both"/>
        <w:rPr>
          <w:rFonts w:ascii="Arial" w:hAnsi="Arial" w:cs="Arial"/>
          <w:sz w:val="16"/>
          <w:szCs w:val="16"/>
          <w:lang w:val="cs-CZ" w:eastAsia="cs-CZ"/>
        </w:rPr>
      </w:pPr>
      <w:r w:rsidRPr="00F73659">
        <w:rPr>
          <w:rFonts w:ascii="Arial" w:hAnsi="Arial" w:cs="Arial"/>
          <w:sz w:val="16"/>
          <w:szCs w:val="16"/>
          <w:lang w:val="cs-CZ" w:eastAsia="cs-CZ"/>
        </w:rPr>
        <w:t xml:space="preserve">Booij, K., Smedes, F., &amp; Van Weerlee, E. M. (2002). Spiking of performance reference compounds in low density polyethylene and silicone passive water samplers. </w:t>
      </w:r>
      <w:r w:rsidRPr="00F73659">
        <w:rPr>
          <w:rFonts w:ascii="Arial" w:hAnsi="Arial" w:cs="Arial"/>
          <w:i/>
          <w:iCs/>
          <w:sz w:val="16"/>
          <w:szCs w:val="16"/>
          <w:lang w:val="cs-CZ" w:eastAsia="cs-CZ"/>
        </w:rPr>
        <w:t>Chemosphere</w:t>
      </w:r>
      <w:r w:rsidRPr="00F73659">
        <w:rPr>
          <w:rFonts w:ascii="Arial" w:hAnsi="Arial" w:cs="Arial"/>
          <w:sz w:val="16"/>
          <w:szCs w:val="16"/>
          <w:lang w:val="cs-CZ" w:eastAsia="cs-CZ"/>
        </w:rPr>
        <w:t xml:space="preserve">, </w:t>
      </w:r>
      <w:r w:rsidRPr="00F73659">
        <w:rPr>
          <w:rFonts w:ascii="Arial" w:hAnsi="Arial" w:cs="Arial"/>
          <w:i/>
          <w:iCs/>
          <w:sz w:val="16"/>
          <w:szCs w:val="16"/>
          <w:lang w:val="cs-CZ" w:eastAsia="cs-CZ"/>
        </w:rPr>
        <w:t>46</w:t>
      </w:r>
      <w:r w:rsidRPr="00F73659">
        <w:rPr>
          <w:rFonts w:ascii="Arial" w:hAnsi="Arial" w:cs="Arial"/>
          <w:sz w:val="16"/>
          <w:szCs w:val="16"/>
          <w:lang w:val="cs-CZ" w:eastAsia="cs-CZ"/>
        </w:rPr>
        <w:t xml:space="preserve">(8), 1157–1161. </w:t>
      </w:r>
    </w:p>
    <w:p w:rsidR="00F73659" w:rsidRPr="00F73659" w:rsidRDefault="00F73659" w:rsidP="00F73659">
      <w:pPr>
        <w:spacing w:before="100" w:beforeAutospacing="1" w:after="100" w:afterAutospacing="1"/>
        <w:ind w:left="480" w:hanging="480"/>
        <w:jc w:val="both"/>
        <w:rPr>
          <w:rFonts w:ascii="Arial" w:hAnsi="Arial" w:cs="Arial"/>
          <w:sz w:val="16"/>
          <w:szCs w:val="16"/>
          <w:lang w:val="cs-CZ" w:eastAsia="cs-CZ"/>
        </w:rPr>
      </w:pPr>
      <w:r w:rsidRPr="00F73659">
        <w:rPr>
          <w:rFonts w:ascii="Arial" w:hAnsi="Arial" w:cs="Arial"/>
          <w:sz w:val="16"/>
          <w:szCs w:val="16"/>
          <w:lang w:val="cs-CZ" w:eastAsia="cs-CZ"/>
        </w:rPr>
        <w:t xml:space="preserve">Mills, G. a., Greenwood, R., Vrana, B., Allan, I. J., &amp; Ocelka, T. (2011). Measurement of environmental pollutants using passive sampling devices – a commentary on the current state of the art. </w:t>
      </w:r>
      <w:r w:rsidRPr="00F73659">
        <w:rPr>
          <w:rFonts w:ascii="Arial" w:hAnsi="Arial" w:cs="Arial"/>
          <w:i/>
          <w:iCs/>
          <w:sz w:val="16"/>
          <w:szCs w:val="16"/>
          <w:lang w:val="cs-CZ" w:eastAsia="cs-CZ"/>
        </w:rPr>
        <w:t>Journal of Environmental Monitoring</w:t>
      </w:r>
      <w:r w:rsidRPr="00F73659">
        <w:rPr>
          <w:rFonts w:ascii="Arial" w:hAnsi="Arial" w:cs="Arial"/>
          <w:sz w:val="16"/>
          <w:szCs w:val="16"/>
          <w:lang w:val="cs-CZ" w:eastAsia="cs-CZ"/>
        </w:rPr>
        <w:t xml:space="preserve">, </w:t>
      </w:r>
      <w:r w:rsidRPr="00F73659">
        <w:rPr>
          <w:rFonts w:ascii="Arial" w:hAnsi="Arial" w:cs="Arial"/>
          <w:i/>
          <w:iCs/>
          <w:sz w:val="16"/>
          <w:szCs w:val="16"/>
          <w:lang w:val="cs-CZ" w:eastAsia="cs-CZ"/>
        </w:rPr>
        <w:t>13</w:t>
      </w:r>
      <w:r w:rsidRPr="00F73659">
        <w:rPr>
          <w:rFonts w:ascii="Arial" w:hAnsi="Arial" w:cs="Arial"/>
          <w:sz w:val="16"/>
          <w:szCs w:val="16"/>
          <w:lang w:val="cs-CZ" w:eastAsia="cs-CZ"/>
        </w:rPr>
        <w:t xml:space="preserve">(11), 2979. </w:t>
      </w:r>
    </w:p>
    <w:p w:rsidR="00F73659" w:rsidRPr="00F73659" w:rsidRDefault="00F73659" w:rsidP="00F73659">
      <w:pPr>
        <w:spacing w:before="100" w:beforeAutospacing="1" w:after="100" w:afterAutospacing="1"/>
        <w:ind w:left="480" w:hanging="480"/>
        <w:jc w:val="both"/>
        <w:rPr>
          <w:rFonts w:ascii="Arial" w:hAnsi="Arial" w:cs="Arial"/>
          <w:sz w:val="16"/>
          <w:szCs w:val="16"/>
          <w:lang w:val="cs-CZ" w:eastAsia="cs-CZ"/>
        </w:rPr>
      </w:pPr>
      <w:r w:rsidRPr="00F73659">
        <w:rPr>
          <w:rFonts w:ascii="Arial" w:hAnsi="Arial" w:cs="Arial"/>
          <w:sz w:val="16"/>
          <w:szCs w:val="16"/>
          <w:lang w:val="cs-CZ" w:eastAsia="cs-CZ"/>
        </w:rPr>
        <w:t xml:space="preserve">Rusina, T., Smedes, F., &amp; Klanova, J. (2010). Diffusion Coefficients of Polychlorinated Biphenyls and Polycyclic Aromatic Hydrocarbons in Polydimethylsiloxane and Low-Density Polyethylene Polymers. </w:t>
      </w:r>
      <w:r w:rsidRPr="00F73659">
        <w:rPr>
          <w:rFonts w:ascii="Arial" w:hAnsi="Arial" w:cs="Arial"/>
          <w:i/>
          <w:iCs/>
          <w:sz w:val="16"/>
          <w:szCs w:val="16"/>
          <w:lang w:val="cs-CZ" w:eastAsia="cs-CZ"/>
        </w:rPr>
        <w:t>Journal of Applied Polymer Science</w:t>
      </w:r>
      <w:r w:rsidRPr="00F73659">
        <w:rPr>
          <w:rFonts w:ascii="Arial" w:hAnsi="Arial" w:cs="Arial"/>
          <w:sz w:val="16"/>
          <w:szCs w:val="16"/>
          <w:lang w:val="cs-CZ" w:eastAsia="cs-CZ"/>
        </w:rPr>
        <w:t xml:space="preserve">, </w:t>
      </w:r>
      <w:r w:rsidRPr="00F73659">
        <w:rPr>
          <w:rFonts w:ascii="Arial" w:hAnsi="Arial" w:cs="Arial"/>
          <w:i/>
          <w:iCs/>
          <w:sz w:val="16"/>
          <w:szCs w:val="16"/>
          <w:lang w:val="cs-CZ" w:eastAsia="cs-CZ"/>
        </w:rPr>
        <w:t>116</w:t>
      </w:r>
      <w:r w:rsidRPr="00F73659">
        <w:rPr>
          <w:rFonts w:ascii="Arial" w:hAnsi="Arial" w:cs="Arial"/>
          <w:sz w:val="16"/>
          <w:szCs w:val="16"/>
          <w:lang w:val="cs-CZ" w:eastAsia="cs-CZ"/>
        </w:rPr>
        <w:t xml:space="preserve">(3), 1803–1810. </w:t>
      </w:r>
    </w:p>
    <w:p w:rsidR="00F73659" w:rsidRPr="00F73659" w:rsidRDefault="00F73659" w:rsidP="00F73659">
      <w:pPr>
        <w:spacing w:before="100" w:beforeAutospacing="1" w:after="100" w:afterAutospacing="1"/>
        <w:ind w:left="480" w:hanging="480"/>
        <w:jc w:val="both"/>
        <w:rPr>
          <w:rFonts w:ascii="Arial" w:hAnsi="Arial" w:cs="Arial"/>
          <w:sz w:val="16"/>
          <w:szCs w:val="16"/>
          <w:lang w:val="cs-CZ" w:eastAsia="cs-CZ"/>
        </w:rPr>
      </w:pPr>
      <w:r w:rsidRPr="00F73659">
        <w:rPr>
          <w:rFonts w:ascii="Arial" w:hAnsi="Arial" w:cs="Arial"/>
          <w:sz w:val="16"/>
          <w:szCs w:val="16"/>
          <w:lang w:val="cs-CZ" w:eastAsia="cs-CZ"/>
        </w:rPr>
        <w:t xml:space="preserve">Smedes, F., Geertsma, R. W., Van Der Zande, T., &amp; Booij, K. (2009). Polymer-water partition coefficients of hydrophobic compounds for passive sampling: Application of cosolvent models for validation. </w:t>
      </w:r>
      <w:r w:rsidRPr="00F73659">
        <w:rPr>
          <w:rFonts w:ascii="Arial" w:hAnsi="Arial" w:cs="Arial"/>
          <w:i/>
          <w:iCs/>
          <w:sz w:val="16"/>
          <w:szCs w:val="16"/>
          <w:lang w:val="cs-CZ" w:eastAsia="cs-CZ"/>
        </w:rPr>
        <w:t>Environmental Science and Technology</w:t>
      </w:r>
      <w:r w:rsidRPr="00F73659">
        <w:rPr>
          <w:rFonts w:ascii="Arial" w:hAnsi="Arial" w:cs="Arial"/>
          <w:sz w:val="16"/>
          <w:szCs w:val="16"/>
          <w:lang w:val="cs-CZ" w:eastAsia="cs-CZ"/>
        </w:rPr>
        <w:t xml:space="preserve">, </w:t>
      </w:r>
      <w:r w:rsidRPr="00F73659">
        <w:rPr>
          <w:rFonts w:ascii="Arial" w:hAnsi="Arial" w:cs="Arial"/>
          <w:i/>
          <w:iCs/>
          <w:sz w:val="16"/>
          <w:szCs w:val="16"/>
          <w:lang w:val="cs-CZ" w:eastAsia="cs-CZ"/>
        </w:rPr>
        <w:t>43</w:t>
      </w:r>
      <w:r w:rsidRPr="00F73659">
        <w:rPr>
          <w:rFonts w:ascii="Arial" w:hAnsi="Arial" w:cs="Arial"/>
          <w:sz w:val="16"/>
          <w:szCs w:val="16"/>
          <w:lang w:val="cs-CZ" w:eastAsia="cs-CZ"/>
        </w:rPr>
        <w:t xml:space="preserve">(18), 7047–7054. </w:t>
      </w:r>
    </w:p>
    <w:p w:rsidR="00F73659" w:rsidRPr="00F73659" w:rsidRDefault="00F73659" w:rsidP="00F73659">
      <w:pPr>
        <w:spacing w:before="100" w:beforeAutospacing="1" w:after="100" w:afterAutospacing="1"/>
        <w:ind w:left="480" w:hanging="480"/>
        <w:jc w:val="both"/>
        <w:rPr>
          <w:rFonts w:ascii="Arial" w:hAnsi="Arial" w:cs="Arial"/>
          <w:sz w:val="16"/>
          <w:szCs w:val="16"/>
          <w:lang w:val="cs-CZ" w:eastAsia="cs-CZ"/>
        </w:rPr>
      </w:pPr>
      <w:r w:rsidRPr="00F73659">
        <w:rPr>
          <w:rFonts w:ascii="Arial" w:hAnsi="Arial" w:cs="Arial"/>
          <w:sz w:val="16"/>
          <w:szCs w:val="16"/>
          <w:lang w:val="cs-CZ" w:eastAsia="cs-CZ"/>
        </w:rPr>
        <w:t xml:space="preserve">Rusina, T. P., Smedes, F., Koblizkova, M., &amp; Klanova, J. (2010). Calibration of silicone rubber passive samplers: Experimental and modeled relations between sampling rate and compound properties. </w:t>
      </w:r>
      <w:r w:rsidRPr="00F73659">
        <w:rPr>
          <w:rFonts w:ascii="Arial" w:hAnsi="Arial" w:cs="Arial"/>
          <w:i/>
          <w:iCs/>
          <w:sz w:val="16"/>
          <w:szCs w:val="16"/>
          <w:lang w:val="cs-CZ" w:eastAsia="cs-CZ"/>
        </w:rPr>
        <w:t>Environmental Science and Technology</w:t>
      </w:r>
      <w:r w:rsidRPr="00F73659">
        <w:rPr>
          <w:rFonts w:ascii="Arial" w:hAnsi="Arial" w:cs="Arial"/>
          <w:sz w:val="16"/>
          <w:szCs w:val="16"/>
          <w:lang w:val="cs-CZ" w:eastAsia="cs-CZ"/>
        </w:rPr>
        <w:t xml:space="preserve">, </w:t>
      </w:r>
      <w:r w:rsidRPr="00F73659">
        <w:rPr>
          <w:rFonts w:ascii="Arial" w:hAnsi="Arial" w:cs="Arial"/>
          <w:i/>
          <w:iCs/>
          <w:sz w:val="16"/>
          <w:szCs w:val="16"/>
          <w:lang w:val="cs-CZ" w:eastAsia="cs-CZ"/>
        </w:rPr>
        <w:t>44</w:t>
      </w:r>
      <w:r w:rsidRPr="00F73659">
        <w:rPr>
          <w:rFonts w:ascii="Arial" w:hAnsi="Arial" w:cs="Arial"/>
          <w:sz w:val="16"/>
          <w:szCs w:val="16"/>
          <w:lang w:val="cs-CZ" w:eastAsia="cs-CZ"/>
        </w:rPr>
        <w:t xml:space="preserve">(1), 362–367. </w:t>
      </w:r>
    </w:p>
    <w:p w:rsidR="00CF4EDB" w:rsidRPr="00692084" w:rsidRDefault="00692084" w:rsidP="0002568D">
      <w:pPr>
        <w:jc w:val="both"/>
      </w:pPr>
      <w:r w:rsidRPr="00377840">
        <w:rPr>
          <w:rFonts w:ascii="Arial" w:hAnsi="Arial" w:cs="Arial"/>
          <w:noProof/>
          <w:sz w:val="18"/>
          <w:szCs w:val="18"/>
          <w:lang w:val="fr-FR"/>
        </w:rPr>
        <w:t>Acknowledgments:</w:t>
      </w:r>
      <w:r w:rsidR="0002568D">
        <w:rPr>
          <w:rFonts w:ascii="Arial" w:hAnsi="Arial" w:cs="Arial"/>
          <w:noProof/>
          <w:sz w:val="18"/>
          <w:szCs w:val="18"/>
          <w:lang w:val="fr-FR"/>
        </w:rPr>
        <w:t xml:space="preserve"> </w:t>
      </w:r>
      <w:r w:rsidR="0002568D" w:rsidRPr="0002568D">
        <w:rPr>
          <w:sz w:val="18"/>
          <w:szCs w:val="18"/>
          <w:lang w:val="en-US"/>
        </w:rPr>
        <w:t xml:space="preserve">We acknowledge the SOLUTIONS Project supported by the European Union Seventh Framework </w:t>
      </w:r>
      <w:proofErr w:type="spellStart"/>
      <w:r w:rsidR="0002568D" w:rsidRPr="0002568D">
        <w:rPr>
          <w:sz w:val="18"/>
          <w:szCs w:val="18"/>
          <w:lang w:val="en-US"/>
        </w:rPr>
        <w:t>Programme</w:t>
      </w:r>
      <w:proofErr w:type="spellEnd"/>
      <w:r w:rsidR="0002568D" w:rsidRPr="0002568D">
        <w:rPr>
          <w:sz w:val="18"/>
          <w:szCs w:val="18"/>
          <w:lang w:val="en-US"/>
        </w:rPr>
        <w:t xml:space="preserve"> (FP7-ENV-2013-two-stage Collaborative project) under grant agreement 603437 for the financial support.</w:t>
      </w:r>
      <w:r w:rsidR="0002568D">
        <w:rPr>
          <w:sz w:val="18"/>
          <w:szCs w:val="18"/>
          <w:lang w:val="en-US"/>
        </w:rPr>
        <w:t xml:space="preserve"> </w:t>
      </w:r>
      <w:r w:rsidRPr="0006319C">
        <w:rPr>
          <w:sz w:val="18"/>
          <w:szCs w:val="18"/>
          <w:lang w:val="en-US"/>
        </w:rPr>
        <w:t>The RECETOX research infrastructure was supported by the projects of the Czech Ministry of Education (LO1214) and (LM2011028).</w:t>
      </w:r>
    </w:p>
    <w:sectPr w:rsidR="00CF4EDB" w:rsidRPr="00692084" w:rsidSect="00BD38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C669F"/>
    <w:rsid w:val="0002568D"/>
    <w:rsid w:val="004E0F15"/>
    <w:rsid w:val="00692084"/>
    <w:rsid w:val="006C669F"/>
    <w:rsid w:val="00851C70"/>
    <w:rsid w:val="00975272"/>
    <w:rsid w:val="00B24E50"/>
    <w:rsid w:val="00C02889"/>
    <w:rsid w:val="00CF4EDB"/>
    <w:rsid w:val="00D5358E"/>
    <w:rsid w:val="00D758FE"/>
    <w:rsid w:val="00E6467C"/>
    <w:rsid w:val="00F377A0"/>
    <w:rsid w:val="00F60E33"/>
    <w:rsid w:val="00F7365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9F"/>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69F"/>
    <w:rPr>
      <w:color w:val="0000FF"/>
      <w:u w:val="single"/>
    </w:rPr>
  </w:style>
  <w:style w:type="paragraph" w:styleId="NormalWeb">
    <w:name w:val="Normal (Web)"/>
    <w:basedOn w:val="Normal"/>
    <w:uiPriority w:val="99"/>
    <w:semiHidden/>
    <w:unhideWhenUsed/>
    <w:rsid w:val="006C669F"/>
    <w:pPr>
      <w:spacing w:before="100" w:beforeAutospacing="1" w:after="100" w:afterAutospacing="1"/>
    </w:pPr>
    <w:rPr>
      <w:rFonts w:eastAsiaTheme="minorEastAsia"/>
      <w:lang w:val="cs-CZ" w:eastAsia="cs-CZ"/>
    </w:rPr>
  </w:style>
  <w:style w:type="paragraph" w:customStyle="1" w:styleId="Default">
    <w:name w:val="Default"/>
    <w:uiPriority w:val="99"/>
    <w:rsid w:val="006C669F"/>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CommentReference">
    <w:name w:val="annotation reference"/>
    <w:basedOn w:val="DefaultParagraphFont"/>
    <w:uiPriority w:val="99"/>
    <w:semiHidden/>
    <w:unhideWhenUsed/>
    <w:rsid w:val="006C669F"/>
    <w:rPr>
      <w:sz w:val="16"/>
      <w:szCs w:val="16"/>
    </w:rPr>
  </w:style>
  <w:style w:type="paragraph" w:styleId="CommentText">
    <w:name w:val="annotation text"/>
    <w:basedOn w:val="Normal"/>
    <w:link w:val="CommentTextChar"/>
    <w:uiPriority w:val="99"/>
    <w:semiHidden/>
    <w:unhideWhenUsed/>
    <w:rsid w:val="006C669F"/>
    <w:rPr>
      <w:sz w:val="20"/>
      <w:szCs w:val="20"/>
    </w:rPr>
  </w:style>
  <w:style w:type="character" w:customStyle="1" w:styleId="CommentTextChar">
    <w:name w:val="Comment Text Char"/>
    <w:basedOn w:val="DefaultParagraphFont"/>
    <w:link w:val="CommentText"/>
    <w:uiPriority w:val="99"/>
    <w:semiHidden/>
    <w:rsid w:val="006C669F"/>
    <w:rPr>
      <w:rFonts w:ascii="Times New Roman" w:eastAsia="Times New Roman" w:hAnsi="Times New Roman" w:cs="Times New Roman"/>
      <w:sz w:val="20"/>
      <w:szCs w:val="20"/>
      <w:lang w:val="de-DE" w:eastAsia="de-DE"/>
    </w:rPr>
  </w:style>
  <w:style w:type="paragraph" w:styleId="BalloonText">
    <w:name w:val="Balloon Text"/>
    <w:basedOn w:val="Normal"/>
    <w:link w:val="BalloonTextChar"/>
    <w:uiPriority w:val="99"/>
    <w:semiHidden/>
    <w:unhideWhenUsed/>
    <w:rsid w:val="006C669F"/>
    <w:rPr>
      <w:rFonts w:ascii="Tahoma" w:hAnsi="Tahoma" w:cs="Tahoma"/>
      <w:sz w:val="16"/>
      <w:szCs w:val="16"/>
    </w:rPr>
  </w:style>
  <w:style w:type="character" w:customStyle="1" w:styleId="BalloonTextChar">
    <w:name w:val="Balloon Text Char"/>
    <w:basedOn w:val="DefaultParagraphFont"/>
    <w:link w:val="BalloonText"/>
    <w:uiPriority w:val="99"/>
    <w:semiHidden/>
    <w:rsid w:val="006C669F"/>
    <w:rPr>
      <w:rFonts w:ascii="Tahoma" w:eastAsia="Times New Roman"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divs>
    <w:div w:id="239215136">
      <w:bodyDiv w:val="1"/>
      <w:marLeft w:val="0"/>
      <w:marRight w:val="0"/>
      <w:marTop w:val="0"/>
      <w:marBottom w:val="0"/>
      <w:divBdr>
        <w:top w:val="none" w:sz="0" w:space="0" w:color="auto"/>
        <w:left w:val="none" w:sz="0" w:space="0" w:color="auto"/>
        <w:bottom w:val="none" w:sz="0" w:space="0" w:color="auto"/>
        <w:right w:val="none" w:sz="0" w:space="0" w:color="auto"/>
      </w:divBdr>
    </w:div>
    <w:div w:id="425344106">
      <w:bodyDiv w:val="1"/>
      <w:marLeft w:val="0"/>
      <w:marRight w:val="0"/>
      <w:marTop w:val="0"/>
      <w:marBottom w:val="0"/>
      <w:divBdr>
        <w:top w:val="none" w:sz="0" w:space="0" w:color="auto"/>
        <w:left w:val="none" w:sz="0" w:space="0" w:color="auto"/>
        <w:bottom w:val="none" w:sz="0" w:space="0" w:color="auto"/>
        <w:right w:val="none" w:sz="0" w:space="0" w:color="auto"/>
      </w:divBdr>
    </w:div>
    <w:div w:id="739719023">
      <w:bodyDiv w:val="1"/>
      <w:marLeft w:val="0"/>
      <w:marRight w:val="0"/>
      <w:marTop w:val="0"/>
      <w:marBottom w:val="0"/>
      <w:divBdr>
        <w:top w:val="none" w:sz="0" w:space="0" w:color="auto"/>
        <w:left w:val="none" w:sz="0" w:space="0" w:color="auto"/>
        <w:bottom w:val="none" w:sz="0" w:space="0" w:color="auto"/>
        <w:right w:val="none" w:sz="0" w:space="0" w:color="auto"/>
      </w:divBdr>
    </w:div>
    <w:div w:id="920333865">
      <w:bodyDiv w:val="1"/>
      <w:marLeft w:val="0"/>
      <w:marRight w:val="0"/>
      <w:marTop w:val="0"/>
      <w:marBottom w:val="0"/>
      <w:divBdr>
        <w:top w:val="none" w:sz="0" w:space="0" w:color="auto"/>
        <w:left w:val="none" w:sz="0" w:space="0" w:color="auto"/>
        <w:bottom w:val="none" w:sz="0" w:space="0" w:color="auto"/>
        <w:right w:val="none" w:sz="0" w:space="0" w:color="auto"/>
      </w:divBdr>
    </w:div>
    <w:div w:id="1055281013">
      <w:bodyDiv w:val="1"/>
      <w:marLeft w:val="0"/>
      <w:marRight w:val="0"/>
      <w:marTop w:val="0"/>
      <w:marBottom w:val="0"/>
      <w:divBdr>
        <w:top w:val="none" w:sz="0" w:space="0" w:color="auto"/>
        <w:left w:val="none" w:sz="0" w:space="0" w:color="auto"/>
        <w:bottom w:val="none" w:sz="0" w:space="0" w:color="auto"/>
        <w:right w:val="none" w:sz="0" w:space="0" w:color="auto"/>
      </w:divBdr>
    </w:div>
    <w:div w:id="1081216920">
      <w:bodyDiv w:val="1"/>
      <w:marLeft w:val="0"/>
      <w:marRight w:val="0"/>
      <w:marTop w:val="0"/>
      <w:marBottom w:val="0"/>
      <w:divBdr>
        <w:top w:val="none" w:sz="0" w:space="0" w:color="auto"/>
        <w:left w:val="none" w:sz="0" w:space="0" w:color="auto"/>
        <w:bottom w:val="none" w:sz="0" w:space="0" w:color="auto"/>
        <w:right w:val="none" w:sz="0" w:space="0" w:color="auto"/>
      </w:divBdr>
    </w:div>
    <w:div w:id="1091853602">
      <w:bodyDiv w:val="1"/>
      <w:marLeft w:val="0"/>
      <w:marRight w:val="0"/>
      <w:marTop w:val="0"/>
      <w:marBottom w:val="0"/>
      <w:divBdr>
        <w:top w:val="none" w:sz="0" w:space="0" w:color="auto"/>
        <w:left w:val="none" w:sz="0" w:space="0" w:color="auto"/>
        <w:bottom w:val="none" w:sz="0" w:space="0" w:color="auto"/>
        <w:right w:val="none" w:sz="0" w:space="0" w:color="auto"/>
      </w:divBdr>
    </w:div>
    <w:div w:id="1119378454">
      <w:bodyDiv w:val="1"/>
      <w:marLeft w:val="0"/>
      <w:marRight w:val="0"/>
      <w:marTop w:val="0"/>
      <w:marBottom w:val="0"/>
      <w:divBdr>
        <w:top w:val="none" w:sz="0" w:space="0" w:color="auto"/>
        <w:left w:val="none" w:sz="0" w:space="0" w:color="auto"/>
        <w:bottom w:val="none" w:sz="0" w:space="0" w:color="auto"/>
        <w:right w:val="none" w:sz="0" w:space="0" w:color="auto"/>
      </w:divBdr>
    </w:div>
    <w:div w:id="1172260243">
      <w:bodyDiv w:val="1"/>
      <w:marLeft w:val="0"/>
      <w:marRight w:val="0"/>
      <w:marTop w:val="0"/>
      <w:marBottom w:val="0"/>
      <w:divBdr>
        <w:top w:val="none" w:sz="0" w:space="0" w:color="auto"/>
        <w:left w:val="none" w:sz="0" w:space="0" w:color="auto"/>
        <w:bottom w:val="none" w:sz="0" w:space="0" w:color="auto"/>
        <w:right w:val="none" w:sz="0" w:space="0" w:color="auto"/>
      </w:divBdr>
    </w:div>
    <w:div w:id="19360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ppe.Smedes@deltares.nl" TargetMode="External"/><Relationship Id="rId3" Type="http://schemas.openxmlformats.org/officeDocument/2006/relationships/settings" Target="settings.xml"/><Relationship Id="rId7" Type="http://schemas.openxmlformats.org/officeDocument/2006/relationships/hyperlink" Target="mailto:rusina@recetox.muni.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rana@recetox.muni.cz" TargetMode="External"/><Relationship Id="rId5" Type="http://schemas.openxmlformats.org/officeDocument/2006/relationships/hyperlink" Target="mailto:okonski@recetox.muni.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2C00A-01CD-4008-9299-9C49E567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4193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okonski</dc:creator>
  <cp:lastModifiedBy>vrana</cp:lastModifiedBy>
  <cp:revision>2</cp:revision>
  <dcterms:created xsi:type="dcterms:W3CDTF">2015-06-23T10:52:00Z</dcterms:created>
  <dcterms:modified xsi:type="dcterms:W3CDTF">2015-06-23T10:52:00Z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okonski@recetox.muni.cz@www.mendeley.com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http://www.zotero.org/styles/environmental-science-and-technology</vt:lpwstr>
  </property>
  <property fmtid="{D5CDD505-2E9C-101B-9397-08002B2CF9AE}" pid="16" name="Mendeley Recent Style Name 5_1">
    <vt:lpwstr>Environmental Science &amp; Technology</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