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302B13" w:rsidRDefault="00302B13" w:rsidP="00302B13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 xml:space="preserve">Non-traditional isotopic signatures of Permian salts </w:t>
      </w:r>
      <w:r w:rsidR="00A778E1">
        <w:rPr>
          <w:rFonts w:ascii="Arial" w:hAnsi="Arial" w:cs="Arial"/>
          <w:b/>
          <w:noProof/>
          <w:sz w:val="28"/>
          <w:szCs w:val="28"/>
          <w:lang w:val="fr-FR"/>
        </w:rPr>
        <w:t>to identify fluid genesis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>: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>Insights from</w:t>
      </w:r>
      <w:r w:rsidR="00A778E1">
        <w:rPr>
          <w:rFonts w:ascii="Arial" w:hAnsi="Arial" w:cs="Arial"/>
          <w:b/>
          <w:noProof/>
          <w:sz w:val="28"/>
          <w:szCs w:val="28"/>
          <w:lang w:val="fr-FR"/>
        </w:rPr>
        <w:t xml:space="preserve"> salt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 xml:space="preserve"> leaching experiments focusing on </w:t>
      </w:r>
      <w:r w:rsidR="00A778E1">
        <w:rPr>
          <w:rFonts w:ascii="Arial" w:hAnsi="Arial" w:cs="Arial"/>
          <w:b/>
          <w:noProof/>
          <w:sz w:val="28"/>
          <w:szCs w:val="28"/>
          <w:lang w:val="fr-FR"/>
        </w:rPr>
        <w:t>s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>trontium</w:t>
      </w:r>
      <w:r w:rsidR="00086AAD">
        <w:rPr>
          <w:rFonts w:ascii="Arial" w:hAnsi="Arial" w:cs="Arial"/>
          <w:b/>
          <w:noProof/>
          <w:sz w:val="28"/>
          <w:szCs w:val="28"/>
          <w:lang w:val="fr-FR"/>
        </w:rPr>
        <w:t>-8</w:t>
      </w:r>
      <w:r w:rsidR="00916A61">
        <w:rPr>
          <w:rFonts w:ascii="Arial" w:hAnsi="Arial" w:cs="Arial"/>
          <w:b/>
          <w:noProof/>
          <w:sz w:val="28"/>
          <w:szCs w:val="28"/>
          <w:lang w:val="fr-FR"/>
        </w:rPr>
        <w:t>7/strontium-86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 xml:space="preserve"> and </w:t>
      </w:r>
      <w:r w:rsidR="00A778E1">
        <w:rPr>
          <w:rFonts w:ascii="Arial" w:hAnsi="Arial" w:cs="Arial"/>
          <w:b/>
          <w:noProof/>
          <w:sz w:val="28"/>
          <w:szCs w:val="28"/>
          <w:lang w:val="fr-FR"/>
        </w:rPr>
        <w:t>m</w:t>
      </w:r>
      <w:r w:rsidRPr="00302B13">
        <w:rPr>
          <w:rFonts w:ascii="Arial" w:hAnsi="Arial" w:cs="Arial"/>
          <w:b/>
          <w:noProof/>
          <w:sz w:val="28"/>
          <w:szCs w:val="28"/>
          <w:lang w:val="fr-FR"/>
        </w:rPr>
        <w:t>agnesium</w:t>
      </w:r>
      <w:r w:rsidR="00086AAD">
        <w:rPr>
          <w:rFonts w:ascii="Arial" w:hAnsi="Arial" w:cs="Arial"/>
          <w:b/>
          <w:noProof/>
          <w:sz w:val="28"/>
          <w:szCs w:val="28"/>
          <w:lang w:val="fr-FR"/>
        </w:rPr>
        <w:t>-26</w:t>
      </w:r>
      <w:r w:rsidR="000856AC">
        <w:rPr>
          <w:rFonts w:ascii="Arial" w:hAnsi="Arial" w:cs="Arial"/>
          <w:b/>
          <w:noProof/>
          <w:sz w:val="28"/>
          <w:szCs w:val="28"/>
          <w:lang w:val="fr-FR"/>
        </w:rPr>
        <w:t>/magnesium-24</w:t>
      </w:r>
    </w:p>
    <w:p w:rsidR="001F4812" w:rsidRPr="00302B13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Default="00302B13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302B13">
        <w:rPr>
          <w:rFonts w:ascii="Arial" w:hAnsi="Arial" w:cs="Arial"/>
          <w:smallCaps/>
          <w:noProof/>
        </w:rPr>
        <w:t>Stadler, S.</w:t>
      </w:r>
      <w:r w:rsidRPr="00302B13">
        <w:rPr>
          <w:rFonts w:ascii="Arial" w:hAnsi="Arial" w:cs="Arial"/>
          <w:smallCaps/>
          <w:noProof/>
          <w:vertAlign w:val="superscript"/>
        </w:rPr>
        <w:t>1</w:t>
      </w:r>
      <w:r w:rsidRPr="00302B13">
        <w:rPr>
          <w:rFonts w:ascii="Arial" w:hAnsi="Arial" w:cs="Arial"/>
          <w:smallCaps/>
          <w:noProof/>
        </w:rPr>
        <w:t>, Henjes-Kunst, F.</w:t>
      </w:r>
      <w:r w:rsidRPr="00302B13">
        <w:rPr>
          <w:rFonts w:ascii="Arial" w:hAnsi="Arial" w:cs="Arial"/>
          <w:smallCaps/>
          <w:noProof/>
          <w:vertAlign w:val="superscript"/>
        </w:rPr>
        <w:t xml:space="preserve"> 1</w:t>
      </w:r>
      <w:r w:rsidRPr="00302B13">
        <w:rPr>
          <w:rFonts w:ascii="Arial" w:hAnsi="Arial" w:cs="Arial"/>
          <w:smallCaps/>
          <w:noProof/>
        </w:rPr>
        <w:t>, Nolte, A.</w:t>
      </w:r>
      <w:r w:rsidRPr="00302B13">
        <w:rPr>
          <w:rFonts w:ascii="Arial" w:hAnsi="Arial" w:cs="Arial"/>
          <w:smallCaps/>
          <w:noProof/>
          <w:vertAlign w:val="superscript"/>
        </w:rPr>
        <w:t xml:space="preserve"> </w:t>
      </w:r>
      <w:r>
        <w:rPr>
          <w:rFonts w:ascii="Arial" w:hAnsi="Arial" w:cs="Arial"/>
          <w:smallCaps/>
          <w:noProof/>
          <w:vertAlign w:val="superscript"/>
        </w:rPr>
        <w:t>2</w:t>
      </w:r>
      <w:r w:rsidRPr="00302B13">
        <w:rPr>
          <w:rFonts w:ascii="Arial" w:hAnsi="Arial" w:cs="Arial"/>
          <w:smallCaps/>
          <w:noProof/>
        </w:rPr>
        <w:t>, Buhl, D.</w:t>
      </w:r>
      <w:r>
        <w:rPr>
          <w:rFonts w:ascii="Arial" w:hAnsi="Arial" w:cs="Arial"/>
          <w:smallCaps/>
          <w:noProof/>
          <w:vertAlign w:val="superscript"/>
        </w:rPr>
        <w:t>3</w:t>
      </w:r>
    </w:p>
    <w:p w:rsidR="00627988" w:rsidRPr="00302B13" w:rsidRDefault="00627988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</w:p>
    <w:p w:rsidR="00EA0F1F" w:rsidRDefault="00DF6705" w:rsidP="00EA0F1F">
      <w:pPr>
        <w:rPr>
          <w:rFonts w:ascii="Arial" w:hAnsi="Arial" w:cs="Arial"/>
          <w:noProof/>
          <w:sz w:val="18"/>
          <w:szCs w:val="18"/>
          <w:lang w:val="en-US"/>
        </w:rPr>
      </w:pPr>
      <w:r w:rsidRPr="00302B13">
        <w:rPr>
          <w:rFonts w:ascii="Arial" w:hAnsi="Arial" w:cs="Arial"/>
          <w:noProof/>
          <w:sz w:val="18"/>
          <w:szCs w:val="18"/>
          <w:vertAlign w:val="superscript"/>
          <w:lang w:val="en-US"/>
        </w:rPr>
        <w:t>1</w:t>
      </w:r>
      <w:r w:rsidR="00302B13" w:rsidRPr="00302B13">
        <w:rPr>
          <w:rFonts w:ascii="Arial" w:hAnsi="Arial" w:cs="Arial"/>
          <w:noProof/>
          <w:sz w:val="18"/>
          <w:szCs w:val="18"/>
          <w:lang w:val="en-US"/>
        </w:rPr>
        <w:t>F</w:t>
      </w:r>
      <w:r w:rsidR="00EA0F1F">
        <w:rPr>
          <w:rFonts w:ascii="Arial" w:hAnsi="Arial" w:cs="Arial"/>
          <w:noProof/>
          <w:sz w:val="18"/>
          <w:szCs w:val="18"/>
          <w:lang w:val="en-US"/>
        </w:rPr>
        <w:t>ederal Institute for Geosc</w:t>
      </w:r>
      <w:r w:rsidR="00302B13" w:rsidRPr="00302B13">
        <w:rPr>
          <w:rFonts w:ascii="Arial" w:hAnsi="Arial" w:cs="Arial"/>
          <w:noProof/>
          <w:sz w:val="18"/>
          <w:szCs w:val="18"/>
          <w:lang w:val="en-US"/>
        </w:rPr>
        <w:t>i</w:t>
      </w:r>
      <w:r w:rsidR="00EA0F1F">
        <w:rPr>
          <w:rFonts w:ascii="Arial" w:hAnsi="Arial" w:cs="Arial"/>
          <w:noProof/>
          <w:sz w:val="18"/>
          <w:szCs w:val="18"/>
          <w:lang w:val="en-US"/>
        </w:rPr>
        <w:t>e</w:t>
      </w:r>
      <w:r w:rsidR="00302B13" w:rsidRPr="00302B13">
        <w:rPr>
          <w:rFonts w:ascii="Arial" w:hAnsi="Arial" w:cs="Arial"/>
          <w:noProof/>
          <w:sz w:val="18"/>
          <w:szCs w:val="18"/>
          <w:lang w:val="en-US"/>
        </w:rPr>
        <w:t xml:space="preserve">nces and Natural Resources (BGR), Hannover, Germany </w:t>
      </w:r>
      <w:r w:rsidR="00627988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5" w:history="1">
        <w:r w:rsidR="00627988" w:rsidRPr="00B122D2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susanne.stadler@bgr.de</w:t>
        </w:r>
      </w:hyperlink>
      <w:r w:rsidR="00EA0F1F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EA0F1F" w:rsidRPr="005A08E5" w:rsidRDefault="00DF6705" w:rsidP="00EA0F1F">
      <w:pPr>
        <w:rPr>
          <w:rFonts w:ascii="Arial" w:hAnsi="Arial" w:cs="Arial"/>
          <w:noProof/>
          <w:sz w:val="18"/>
          <w:szCs w:val="18"/>
          <w:lang w:val="en-US"/>
        </w:rPr>
      </w:pPr>
      <w:r w:rsidRPr="005A08E5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="00627988" w:rsidRPr="005A08E5">
        <w:rPr>
          <w:rFonts w:ascii="Arial" w:hAnsi="Arial" w:cs="Arial"/>
          <w:noProof/>
          <w:sz w:val="18"/>
          <w:szCs w:val="18"/>
          <w:lang w:val="en-US"/>
        </w:rPr>
        <w:t>Technical University Braunschweig, Germany</w:t>
      </w:r>
      <w:r w:rsidR="00EA0F1F" w:rsidRPr="005A08E5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302B13" w:rsidRPr="00627988" w:rsidRDefault="00302B13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5A08E5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 w:rsidR="00627988" w:rsidRPr="00627988">
        <w:rPr>
          <w:rFonts w:ascii="Arial" w:hAnsi="Arial" w:cs="Arial"/>
          <w:noProof/>
          <w:sz w:val="18"/>
          <w:szCs w:val="18"/>
          <w:lang w:val="en-US"/>
        </w:rPr>
        <w:t>Ruhr-University Bochum, Germany</w:t>
      </w:r>
    </w:p>
    <w:p w:rsidR="00241318" w:rsidRPr="005A08E5" w:rsidRDefault="00241318">
      <w:pPr>
        <w:rPr>
          <w:lang w:val="en-US"/>
        </w:rPr>
      </w:pPr>
    </w:p>
    <w:p w:rsidR="00302B13" w:rsidRPr="005A08E5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In the framework of the investigation of the role of groundwater in on-going subsidence processes in the city of Stassfurt, Germany, we analyzed the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>strontium and m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agnesium isotope composition of solid salt samples and of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 xml:space="preserve"> samples from the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 Bunter Sandstone layers covering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>investigated Zechstein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 formation. </w:t>
      </w:r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The overall aim of the study was to identify the genesis and origin of brines encountered in the saline formation. This requires a sound knowledge of fluid sources in the investigated system, i.e. the occurrence of residual brines or dissolution-derived brines that potentially evolved further through water-rock interaction, as well as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 xml:space="preserve">necessitates 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an understanding of the dissolution behavior of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 xml:space="preserve">encountered 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solid material.</w:t>
      </w:r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For this, we conducted leaching experiments on Anhydrite, Carnallite and Halite from the Zechstein formation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 xml:space="preserve">as well as on bulk rock samples from the Bunter Sandstone in the area 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and measured the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>ir strontium and m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agnesium isotopic composition. In addition, multi-isotopic measurements (e.g. 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87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Sr/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86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Sr, 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26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Mg</w:t>
      </w:r>
      <w:r w:rsidR="000856AC">
        <w:rPr>
          <w:rFonts w:ascii="Arial" w:hAnsi="Arial" w:cs="Arial"/>
          <w:noProof/>
          <w:sz w:val="20"/>
          <w:szCs w:val="20"/>
          <w:lang w:val="en-US"/>
        </w:rPr>
        <w:t>/</w:t>
      </w:r>
      <w:r w:rsidR="000856AC"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 w:rsidR="000856AC">
        <w:rPr>
          <w:rFonts w:ascii="Arial" w:hAnsi="Arial" w:cs="Arial"/>
          <w:noProof/>
          <w:sz w:val="20"/>
          <w:szCs w:val="20"/>
          <w:vertAlign w:val="superscript"/>
          <w:lang w:val="en-US"/>
        </w:rPr>
        <w:t>4</w:t>
      </w:r>
      <w:r w:rsidR="000856AC" w:rsidRPr="00302B13">
        <w:rPr>
          <w:rFonts w:ascii="Arial" w:hAnsi="Arial" w:cs="Arial"/>
          <w:noProof/>
          <w:sz w:val="20"/>
          <w:szCs w:val="20"/>
          <w:lang w:val="en-US"/>
        </w:rPr>
        <w:t>Mg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81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Br</w:t>
      </w:r>
      <w:r w:rsidR="000856AC">
        <w:rPr>
          <w:rFonts w:ascii="Arial" w:hAnsi="Arial" w:cs="Arial"/>
          <w:noProof/>
          <w:sz w:val="20"/>
          <w:szCs w:val="20"/>
          <w:lang w:val="en-US"/>
        </w:rPr>
        <w:t>/</w:t>
      </w:r>
      <w:r w:rsidR="000856AC">
        <w:rPr>
          <w:rFonts w:ascii="Arial" w:hAnsi="Arial" w:cs="Arial"/>
          <w:noProof/>
          <w:sz w:val="20"/>
          <w:szCs w:val="20"/>
          <w:vertAlign w:val="superscript"/>
          <w:lang w:val="en-US"/>
        </w:rPr>
        <w:t>79</w:t>
      </w:r>
      <w:r w:rsidR="000856AC" w:rsidRPr="00302B13">
        <w:rPr>
          <w:rFonts w:ascii="Arial" w:hAnsi="Arial" w:cs="Arial"/>
          <w:noProof/>
          <w:sz w:val="20"/>
          <w:szCs w:val="20"/>
          <w:lang w:val="en-US"/>
        </w:rPr>
        <w:t>Br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2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H, </w:t>
      </w:r>
      <w:r w:rsidRPr="009E32D3">
        <w:rPr>
          <w:rFonts w:ascii="Arial" w:hAnsi="Arial" w:cs="Arial"/>
          <w:noProof/>
          <w:sz w:val="20"/>
          <w:szCs w:val="20"/>
          <w:vertAlign w:val="superscript"/>
          <w:lang w:val="en-US"/>
        </w:rPr>
        <w:t>18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O) were conducted on abstracted water samples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 xml:space="preserve"> for comparison with the signatures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 derived from rock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>material. Results a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re set into the framework of deep formations in the Northern German Basin.</w:t>
      </w:r>
      <w:bookmarkStart w:id="0" w:name="_GoBack"/>
      <w:bookmarkEnd w:id="0"/>
    </w:p>
    <w:p w:rsidR="00302B13" w:rsidRPr="00302B13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Default="00302B13" w:rsidP="00302B1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302B13">
        <w:rPr>
          <w:rFonts w:ascii="Arial" w:hAnsi="Arial" w:cs="Arial"/>
          <w:noProof/>
          <w:sz w:val="20"/>
          <w:szCs w:val="20"/>
          <w:lang w:val="en-US"/>
        </w:rPr>
        <w:t xml:space="preserve">Despite the fact that the salt mines in Stassfurt </w:t>
      </w:r>
      <w:r w:rsidR="00E57D66">
        <w:rPr>
          <w:rFonts w:ascii="Arial" w:hAnsi="Arial" w:cs="Arial"/>
          <w:noProof/>
          <w:sz w:val="20"/>
          <w:szCs w:val="20"/>
          <w:lang w:val="en-US"/>
        </w:rPr>
        <w:t>experienced flooding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, we found a clear indication of still preserved evaporitic brines within the saline formation</w:t>
      </w:r>
      <w:r w:rsidR="005D5D09">
        <w:rPr>
          <w:rFonts w:ascii="Arial" w:hAnsi="Arial" w:cs="Arial"/>
          <w:noProof/>
          <w:sz w:val="20"/>
          <w:szCs w:val="20"/>
          <w:lang w:val="en-US"/>
        </w:rPr>
        <w:t>, and show</w:t>
      </w:r>
      <w:r w:rsidR="007601EE">
        <w:rPr>
          <w:rFonts w:ascii="Arial" w:hAnsi="Arial" w:cs="Arial"/>
          <w:noProof/>
          <w:sz w:val="20"/>
          <w:szCs w:val="20"/>
          <w:lang w:val="en-US"/>
        </w:rPr>
        <w:t xml:space="preserve"> the degree of contribution of</w:t>
      </w:r>
      <w:r w:rsidR="005D5D0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D5D09" w:rsidRPr="005D5D09">
        <w:rPr>
          <w:rFonts w:ascii="Arial" w:hAnsi="Arial" w:cs="Arial"/>
          <w:noProof/>
          <w:sz w:val="20"/>
          <w:szCs w:val="20"/>
          <w:lang w:val="en-US"/>
        </w:rPr>
        <w:t>eva</w:t>
      </w:r>
      <w:r w:rsidR="005A08E5">
        <w:rPr>
          <w:rFonts w:ascii="Arial" w:hAnsi="Arial" w:cs="Arial"/>
          <w:noProof/>
          <w:sz w:val="20"/>
          <w:szCs w:val="20"/>
          <w:lang w:val="en-US"/>
        </w:rPr>
        <w:t xml:space="preserve">poritic components in fluids within the </w:t>
      </w:r>
      <w:r w:rsidR="005D5D09" w:rsidRPr="005D5D09">
        <w:rPr>
          <w:rFonts w:ascii="Arial" w:hAnsi="Arial" w:cs="Arial"/>
          <w:noProof/>
          <w:sz w:val="20"/>
          <w:szCs w:val="20"/>
          <w:lang w:val="en-US"/>
        </w:rPr>
        <w:t>cover</w:t>
      </w:r>
      <w:r w:rsidR="005A08E5">
        <w:rPr>
          <w:rFonts w:ascii="Arial" w:hAnsi="Arial" w:cs="Arial"/>
          <w:noProof/>
          <w:sz w:val="20"/>
          <w:szCs w:val="20"/>
          <w:lang w:val="en-US"/>
        </w:rPr>
        <w:t>ing</w:t>
      </w:r>
      <w:r w:rsidR="005D5D09" w:rsidRPr="005D5D09">
        <w:rPr>
          <w:rFonts w:ascii="Arial" w:hAnsi="Arial" w:cs="Arial"/>
          <w:noProof/>
          <w:sz w:val="20"/>
          <w:szCs w:val="20"/>
          <w:lang w:val="en-US"/>
        </w:rPr>
        <w:t xml:space="preserve"> layers</w:t>
      </w:r>
      <w:r w:rsidRPr="00302B13">
        <w:rPr>
          <w:rFonts w:ascii="Arial" w:hAnsi="Arial" w:cs="Arial"/>
          <w:noProof/>
          <w:sz w:val="20"/>
          <w:szCs w:val="20"/>
          <w:lang w:val="en-US"/>
        </w:rPr>
        <w:t>. In addition, we present novel data on Mg-isotopes to further understand the isotopic cycling of magnesium in salt.</w:t>
      </w: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856AC"/>
    <w:rsid w:val="00086AAD"/>
    <w:rsid w:val="000F7DDD"/>
    <w:rsid w:val="001A6F72"/>
    <w:rsid w:val="001F4812"/>
    <w:rsid w:val="00241318"/>
    <w:rsid w:val="00302B13"/>
    <w:rsid w:val="00455675"/>
    <w:rsid w:val="00455DBB"/>
    <w:rsid w:val="004B2CE5"/>
    <w:rsid w:val="004F3F40"/>
    <w:rsid w:val="00536439"/>
    <w:rsid w:val="005A08E5"/>
    <w:rsid w:val="005D5D09"/>
    <w:rsid w:val="00627988"/>
    <w:rsid w:val="007601EE"/>
    <w:rsid w:val="008408A4"/>
    <w:rsid w:val="00875E41"/>
    <w:rsid w:val="008C47B6"/>
    <w:rsid w:val="008E1BB9"/>
    <w:rsid w:val="00916A61"/>
    <w:rsid w:val="009B473C"/>
    <w:rsid w:val="009E32D3"/>
    <w:rsid w:val="00A34C75"/>
    <w:rsid w:val="00A377E4"/>
    <w:rsid w:val="00A4450B"/>
    <w:rsid w:val="00A778E1"/>
    <w:rsid w:val="00B10E8D"/>
    <w:rsid w:val="00BB51C3"/>
    <w:rsid w:val="00C22D80"/>
    <w:rsid w:val="00C54F4B"/>
    <w:rsid w:val="00D2223F"/>
    <w:rsid w:val="00DF6705"/>
    <w:rsid w:val="00E05237"/>
    <w:rsid w:val="00E57D66"/>
    <w:rsid w:val="00EA0F1F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stadler@bg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Geozentrum Hannover</Company>
  <LinksUpToDate>false</LinksUpToDate>
  <CharactersWithSpaces>2116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stadler.s</cp:lastModifiedBy>
  <cp:revision>3</cp:revision>
  <cp:lastPrinted>2015-05-22T09:53:00Z</cp:lastPrinted>
  <dcterms:created xsi:type="dcterms:W3CDTF">2015-05-26T07:11:00Z</dcterms:created>
  <dcterms:modified xsi:type="dcterms:W3CDTF">2015-05-26T08:12:00Z</dcterms:modified>
</cp:coreProperties>
</file>