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A35" w:rsidRPr="009A1428" w:rsidRDefault="005F7E4F" w:rsidP="009A1428">
      <w:pPr>
        <w:pStyle w:val="Affiliation"/>
        <w:spacing w:after="1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A1428">
        <w:rPr>
          <w:rFonts w:ascii="Times New Roman"/>
          <w:b/>
          <w:bCs/>
          <w:sz w:val="28"/>
          <w:szCs w:val="28"/>
        </w:rPr>
        <w:t xml:space="preserve">An </w:t>
      </w:r>
      <w:r w:rsidRPr="009A1428">
        <w:rPr>
          <w:rFonts w:ascii="Times New Roman"/>
          <w:b/>
          <w:bCs/>
          <w:i/>
          <w:iCs/>
          <w:sz w:val="28"/>
          <w:szCs w:val="28"/>
        </w:rPr>
        <w:t xml:space="preserve">in </w:t>
      </w:r>
      <w:proofErr w:type="spellStart"/>
      <w:r w:rsidRPr="009A1428">
        <w:rPr>
          <w:rFonts w:ascii="Times New Roman"/>
          <w:b/>
          <w:bCs/>
          <w:i/>
          <w:iCs/>
          <w:sz w:val="28"/>
          <w:szCs w:val="28"/>
        </w:rPr>
        <w:t>silico</w:t>
      </w:r>
      <w:proofErr w:type="spellEnd"/>
      <w:r w:rsidRPr="009A1428">
        <w:rPr>
          <w:rFonts w:ascii="Times New Roman"/>
          <w:b/>
          <w:bCs/>
          <w:sz w:val="28"/>
          <w:szCs w:val="28"/>
        </w:rPr>
        <w:t xml:space="preserve"> approach to cytotoxicity of pharmaceuticals and personal care products on the rainbow trout liver cell line RTL-W1.</w:t>
      </w:r>
    </w:p>
    <w:p w:rsidR="00715A35" w:rsidRPr="009A1428" w:rsidRDefault="00F30657">
      <w:pPr>
        <w:pStyle w:val="Affiliation"/>
        <w:spacing w:after="120"/>
        <w:rPr>
          <w:rFonts w:ascii="Times New Roman" w:eastAsia="Times New Roman" w:hAnsi="Times New Roman" w:cs="Times New Roman"/>
          <w:sz w:val="22"/>
          <w:szCs w:val="22"/>
        </w:rPr>
      </w:pPr>
      <w:r w:rsidRPr="009A1428">
        <w:rPr>
          <w:rFonts w:ascii="Times New Roman"/>
          <w:sz w:val="22"/>
          <w:szCs w:val="22"/>
          <w:u w:val="single"/>
        </w:rPr>
        <w:t>MELEK T</w:t>
      </w:r>
      <w:r w:rsidRPr="009A1428">
        <w:rPr>
          <w:rFonts w:hAnsi="Arial Unicode MS"/>
          <w:sz w:val="22"/>
          <w:szCs w:val="22"/>
          <w:u w:val="single"/>
        </w:rPr>
        <w:t>Ü</w:t>
      </w:r>
      <w:r w:rsidRPr="009A1428">
        <w:rPr>
          <w:rFonts w:ascii="Times New Roman"/>
          <w:sz w:val="22"/>
          <w:szCs w:val="22"/>
          <w:u w:val="single"/>
        </w:rPr>
        <w:t>RKER SA</w:t>
      </w:r>
      <w:r w:rsidRPr="009A1428">
        <w:rPr>
          <w:rFonts w:hAnsi="Arial Unicode MS"/>
          <w:sz w:val="22"/>
          <w:szCs w:val="22"/>
          <w:u w:val="single"/>
        </w:rPr>
        <w:t>Ç</w:t>
      </w:r>
      <w:r w:rsidRPr="009A1428">
        <w:rPr>
          <w:rFonts w:ascii="Times New Roman"/>
          <w:sz w:val="22"/>
          <w:szCs w:val="22"/>
          <w:u w:val="single"/>
        </w:rPr>
        <w:t>AN</w:t>
      </w:r>
      <w:r w:rsidRPr="009A1428">
        <w:rPr>
          <w:rFonts w:ascii="Times New Roman"/>
          <w:sz w:val="22"/>
          <w:szCs w:val="22"/>
          <w:u w:val="single"/>
          <w:vertAlign w:val="superscript"/>
        </w:rPr>
        <w:t>1</w:t>
      </w:r>
      <w:r w:rsidRPr="00F30657">
        <w:rPr>
          <w:rFonts w:ascii="Times New Roman"/>
          <w:sz w:val="22"/>
          <w:szCs w:val="22"/>
          <w:u w:val="single"/>
          <w:vertAlign w:val="subscript"/>
        </w:rPr>
        <w:t xml:space="preserve">, </w:t>
      </w:r>
      <w:r>
        <w:rPr>
          <w:rFonts w:ascii="Times New Roman"/>
          <w:sz w:val="22"/>
          <w:szCs w:val="22"/>
          <w:u w:val="single"/>
          <w:vertAlign w:val="subscript"/>
        </w:rPr>
        <w:t xml:space="preserve"> </w:t>
      </w:r>
      <w:bookmarkStart w:id="0" w:name="_GoBack"/>
      <w:bookmarkEnd w:id="0"/>
      <w:r w:rsidR="005F7E4F" w:rsidRPr="009A1428">
        <w:rPr>
          <w:rFonts w:ascii="Times New Roman"/>
          <w:sz w:val="22"/>
          <w:szCs w:val="22"/>
        </w:rPr>
        <w:t>SERL</w:t>
      </w:r>
      <w:r w:rsidR="005F7E4F" w:rsidRPr="009A1428">
        <w:rPr>
          <w:rFonts w:hAnsi="Arial Unicode MS"/>
          <w:sz w:val="22"/>
          <w:szCs w:val="22"/>
        </w:rPr>
        <w:t>İ</w:t>
      </w:r>
      <w:r w:rsidR="005F7E4F" w:rsidRPr="009A1428">
        <w:rPr>
          <w:rFonts w:hAnsi="Arial Unicode MS"/>
          <w:sz w:val="22"/>
          <w:szCs w:val="22"/>
        </w:rPr>
        <w:t xml:space="preserve"> </w:t>
      </w:r>
      <w:r w:rsidR="005F7E4F" w:rsidRPr="009A1428">
        <w:rPr>
          <w:rFonts w:hAnsi="Arial Unicode MS"/>
          <w:sz w:val="22"/>
          <w:szCs w:val="22"/>
        </w:rPr>
        <w:t>Ö</w:t>
      </w:r>
      <w:r w:rsidR="005F7E4F" w:rsidRPr="009A1428">
        <w:rPr>
          <w:rFonts w:ascii="Times New Roman"/>
          <w:sz w:val="22"/>
          <w:szCs w:val="22"/>
        </w:rPr>
        <w:t>NL</w:t>
      </w:r>
      <w:r w:rsidR="005F7E4F" w:rsidRPr="009A1428">
        <w:rPr>
          <w:rFonts w:hAnsi="Arial Unicode MS"/>
          <w:sz w:val="22"/>
          <w:szCs w:val="22"/>
        </w:rPr>
        <w:t>Ü</w:t>
      </w:r>
      <w:r w:rsidR="005F7E4F" w:rsidRPr="009A1428">
        <w:rPr>
          <w:rFonts w:ascii="Times New Roman"/>
          <w:sz w:val="22"/>
          <w:szCs w:val="22"/>
          <w:vertAlign w:val="superscript"/>
        </w:rPr>
        <w:t>1</w:t>
      </w:r>
      <w:r w:rsidR="005F7E4F" w:rsidRPr="009A1428">
        <w:rPr>
          <w:rFonts w:ascii="Times New Roman"/>
          <w:sz w:val="22"/>
          <w:szCs w:val="22"/>
        </w:rPr>
        <w:t>, M</w:t>
      </w:r>
      <w:r w:rsidR="005F7E4F" w:rsidRPr="009A1428">
        <w:rPr>
          <w:rFonts w:hAnsi="Arial Unicode MS"/>
          <w:sz w:val="22"/>
          <w:szCs w:val="22"/>
        </w:rPr>
        <w:t>Ü</w:t>
      </w:r>
      <w:r w:rsidR="005F7E4F" w:rsidRPr="009A1428">
        <w:rPr>
          <w:rFonts w:ascii="Times New Roman"/>
          <w:sz w:val="22"/>
          <w:szCs w:val="22"/>
        </w:rPr>
        <w:t>GE K</w:t>
      </w:r>
      <w:r w:rsidR="005F7E4F" w:rsidRPr="009A1428">
        <w:rPr>
          <w:rFonts w:hAnsi="Arial Unicode MS"/>
          <w:sz w:val="22"/>
          <w:szCs w:val="22"/>
        </w:rPr>
        <w:t>ÜÇÜ</w:t>
      </w:r>
      <w:r w:rsidR="005F7E4F" w:rsidRPr="009A1428">
        <w:rPr>
          <w:rFonts w:ascii="Times New Roman"/>
          <w:sz w:val="22"/>
          <w:szCs w:val="22"/>
        </w:rPr>
        <w:t>KAL</w:t>
      </w:r>
      <w:r w:rsidR="005F7E4F" w:rsidRPr="009A1428">
        <w:rPr>
          <w:rFonts w:hAnsi="Arial Unicode MS"/>
          <w:sz w:val="22"/>
          <w:szCs w:val="22"/>
        </w:rPr>
        <w:t>İ</w:t>
      </w:r>
      <w:r w:rsidR="005F7E4F" w:rsidRPr="009A1428">
        <w:rPr>
          <w:rFonts w:ascii="Times New Roman"/>
          <w:sz w:val="22"/>
          <w:szCs w:val="22"/>
          <w:vertAlign w:val="superscript"/>
        </w:rPr>
        <w:t>1</w:t>
      </w:r>
      <w:r w:rsidR="005F7E4F" w:rsidRPr="009A1428">
        <w:rPr>
          <w:rFonts w:ascii="Times New Roman"/>
          <w:sz w:val="22"/>
          <w:szCs w:val="22"/>
        </w:rPr>
        <w:t xml:space="preserve">, </w:t>
      </w:r>
    </w:p>
    <w:p w:rsidR="00715A35" w:rsidRDefault="005F7E4F">
      <w:pPr>
        <w:pStyle w:val="Affiliation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  <w:szCs w:val="18"/>
          <w:vertAlign w:val="superscript"/>
        </w:rPr>
        <w:t>1</w:t>
      </w:r>
      <w:r>
        <w:rPr>
          <w:rFonts w:ascii="Times New Roman"/>
          <w:sz w:val="18"/>
          <w:szCs w:val="18"/>
        </w:rPr>
        <w:t>Bo</w:t>
      </w:r>
      <w:r>
        <w:rPr>
          <w:rFonts w:hAnsi="Arial Unicode MS"/>
          <w:sz w:val="18"/>
          <w:szCs w:val="18"/>
        </w:rPr>
        <w:t>ğ</w:t>
      </w:r>
      <w:r>
        <w:rPr>
          <w:rFonts w:ascii="Times New Roman"/>
          <w:sz w:val="18"/>
          <w:szCs w:val="18"/>
        </w:rPr>
        <w:t>azi</w:t>
      </w:r>
      <w:r>
        <w:rPr>
          <w:rFonts w:hAnsi="Arial Unicode MS"/>
          <w:sz w:val="18"/>
          <w:szCs w:val="18"/>
        </w:rPr>
        <w:t>ç</w:t>
      </w:r>
      <w:r>
        <w:rPr>
          <w:rFonts w:ascii="Times New Roman"/>
          <w:sz w:val="18"/>
          <w:szCs w:val="18"/>
        </w:rPr>
        <w:t>i University, Institute of Environmental Sciences, Istanbul, Turkey,</w:t>
      </w:r>
    </w:p>
    <w:p w:rsidR="00715A35" w:rsidRDefault="00601BE5" w:rsidP="009A1428">
      <w:pPr>
        <w:jc w:val="center"/>
        <w:rPr>
          <w:rStyle w:val="Hyperlink0"/>
        </w:rPr>
      </w:pPr>
      <w:hyperlink r:id="rId6" w:history="1"/>
      <w:hyperlink r:id="rId7" w:history="1">
        <w:r w:rsidR="005F7E4F">
          <w:rPr>
            <w:rStyle w:val="Hyperlink0"/>
          </w:rPr>
          <w:t>msacan@boun.edu.tr</w:t>
        </w:r>
      </w:hyperlink>
    </w:p>
    <w:p w:rsidR="009A1428" w:rsidRDefault="009A1428" w:rsidP="009A1428">
      <w:pPr>
        <w:jc w:val="center"/>
        <w:rPr>
          <w:sz w:val="20"/>
          <w:szCs w:val="20"/>
        </w:rPr>
      </w:pPr>
    </w:p>
    <w:p w:rsidR="00715A35" w:rsidRDefault="005F7E4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Pharmaceuticals and personal care products (PPCPs) are a diverse group of many hundreds of chemicals widely used in human health and cosmetic care as well as agricultural and veterinary reasons. They include over-the-counter and prescription therapeutics, veterinary drugs, cosmetic products and fragrances. Synthetic </w:t>
      </w:r>
      <w:proofErr w:type="spellStart"/>
      <w:r>
        <w:rPr>
          <w:sz w:val="22"/>
          <w:szCs w:val="22"/>
        </w:rPr>
        <w:t>musks</w:t>
      </w:r>
      <w:proofErr w:type="spellEnd"/>
      <w:r>
        <w:rPr>
          <w:sz w:val="22"/>
          <w:szCs w:val="22"/>
        </w:rPr>
        <w:t xml:space="preserve"> are commonly used fragrance materials in almost all scented personal care products (PCPs) such as perfumes, skin and hair care products. The potential acute and chronic toxicity of PPCPs to </w:t>
      </w:r>
      <w:proofErr w:type="spellStart"/>
      <w:r>
        <w:rPr>
          <w:sz w:val="22"/>
          <w:szCs w:val="22"/>
        </w:rPr>
        <w:t>non target</w:t>
      </w:r>
      <w:proofErr w:type="spellEnd"/>
      <w:r>
        <w:rPr>
          <w:sz w:val="22"/>
          <w:szCs w:val="22"/>
        </w:rPr>
        <w:t xml:space="preserve"> organisms are not known adequately yet. In addition, short- and long-term </w:t>
      </w:r>
      <w:proofErr w:type="spellStart"/>
      <w:r>
        <w:rPr>
          <w:sz w:val="22"/>
          <w:szCs w:val="22"/>
        </w:rPr>
        <w:t>ecotoxicological</w:t>
      </w:r>
      <w:proofErr w:type="spellEnd"/>
      <w:r>
        <w:rPr>
          <w:sz w:val="22"/>
          <w:szCs w:val="22"/>
        </w:rPr>
        <w:t xml:space="preserve"> information on fish is required for substances produced in or imported into the EU under REACH Regulation. </w:t>
      </w:r>
      <w:r>
        <w:rPr>
          <w:i/>
          <w:iCs/>
          <w:sz w:val="22"/>
          <w:szCs w:val="22"/>
        </w:rPr>
        <w:t>In vitro</w:t>
      </w:r>
      <w:r>
        <w:rPr>
          <w:sz w:val="22"/>
          <w:szCs w:val="22"/>
        </w:rPr>
        <w:t xml:space="preserve"> assays using fish cells have a great concern with the advantage of </w:t>
      </w:r>
      <w:proofErr w:type="spellStart"/>
      <w:r>
        <w:rPr>
          <w:sz w:val="22"/>
          <w:szCs w:val="22"/>
        </w:rPr>
        <w:t>minimising</w:t>
      </w:r>
      <w:proofErr w:type="spellEnd"/>
      <w:r>
        <w:rPr>
          <w:sz w:val="22"/>
          <w:szCs w:val="22"/>
        </w:rPr>
        <w:t xml:space="preserve"> animal use, allowing the testing of a wide range of chemicals and concentrations. These </w:t>
      </w:r>
      <w:r>
        <w:rPr>
          <w:i/>
          <w:iCs/>
          <w:sz w:val="22"/>
          <w:szCs w:val="22"/>
        </w:rPr>
        <w:t>in vitro</w:t>
      </w:r>
      <w:r>
        <w:rPr>
          <w:sz w:val="22"/>
          <w:szCs w:val="22"/>
        </w:rPr>
        <w:t xml:space="preserve"> assays also provide a quick and cost-effective option that has high positive correlations with </w:t>
      </w:r>
      <w:r>
        <w:rPr>
          <w:i/>
          <w:iCs/>
          <w:sz w:val="22"/>
          <w:szCs w:val="22"/>
        </w:rPr>
        <w:t>in vivo</w:t>
      </w:r>
      <w:r>
        <w:rPr>
          <w:sz w:val="22"/>
          <w:szCs w:val="22"/>
        </w:rPr>
        <w:t xml:space="preserve"> results and could be suited for the first screening of acute toxicity of environmentally significant chemicals on </w:t>
      </w:r>
      <w:proofErr w:type="spellStart"/>
      <w:r>
        <w:rPr>
          <w:sz w:val="22"/>
          <w:szCs w:val="22"/>
        </w:rPr>
        <w:t>non target</w:t>
      </w:r>
      <w:proofErr w:type="spellEnd"/>
      <w:r>
        <w:rPr>
          <w:sz w:val="22"/>
          <w:szCs w:val="22"/>
        </w:rPr>
        <w:t xml:space="preserve"> organisms. Furthermore, the replacement of bioassays with alternative methods has gained great attention recently. The toxicity data predicted from validated Quantitative Structure</w:t>
      </w:r>
      <w:r>
        <w:rPr>
          <w:rFonts w:hAnsi="Arial Unicode MS"/>
          <w:sz w:val="22"/>
          <w:szCs w:val="22"/>
        </w:rPr>
        <w:t>−</w:t>
      </w:r>
      <w:r>
        <w:rPr>
          <w:sz w:val="22"/>
          <w:szCs w:val="22"/>
        </w:rPr>
        <w:t>Activity</w:t>
      </w:r>
      <w:proofErr w:type="gramStart"/>
      <w:r>
        <w:rPr>
          <w:sz w:val="22"/>
          <w:szCs w:val="22"/>
        </w:rPr>
        <w:t>/(</w:t>
      </w:r>
      <w:proofErr w:type="gramEnd"/>
      <w:r>
        <w:rPr>
          <w:sz w:val="22"/>
          <w:szCs w:val="22"/>
        </w:rPr>
        <w:t xml:space="preserve">Toxicity) Relationship (QSAR/(QSTR)) models are accepted instead of new experimental studies (1). </w:t>
      </w:r>
    </w:p>
    <w:p w:rsidR="00715A35" w:rsidRDefault="00715A35">
      <w:pPr>
        <w:jc w:val="both"/>
        <w:rPr>
          <w:sz w:val="22"/>
          <w:szCs w:val="22"/>
        </w:rPr>
      </w:pPr>
    </w:p>
    <w:p w:rsidR="00715A35" w:rsidRDefault="005F7E4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 this study, seventeen structurally diverse and widely used cytotoxic pharmaceuticals, synthetic </w:t>
      </w:r>
      <w:proofErr w:type="spellStart"/>
      <w:r>
        <w:rPr>
          <w:sz w:val="22"/>
          <w:szCs w:val="22"/>
        </w:rPr>
        <w:t>musks</w:t>
      </w:r>
      <w:proofErr w:type="spellEnd"/>
      <w:r>
        <w:rPr>
          <w:sz w:val="22"/>
          <w:szCs w:val="22"/>
        </w:rPr>
        <w:t xml:space="preserve"> and an industrial chemical on the rainbow trout (</w:t>
      </w:r>
      <w:proofErr w:type="spellStart"/>
      <w:r>
        <w:rPr>
          <w:i/>
          <w:iCs/>
          <w:sz w:val="22"/>
          <w:szCs w:val="22"/>
        </w:rPr>
        <w:t>Oncorhynchus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mykiss</w:t>
      </w:r>
      <w:proofErr w:type="spellEnd"/>
      <w:r>
        <w:rPr>
          <w:sz w:val="22"/>
          <w:szCs w:val="22"/>
        </w:rPr>
        <w:t xml:space="preserve">) liver cell line RTL-W1 have been subjected to QSAR studies. Data were taken from literature (2) including eleven pharmaceuticals from different therapeutic classes, as well as five synthetic </w:t>
      </w:r>
      <w:proofErr w:type="spellStart"/>
      <w:r>
        <w:rPr>
          <w:sz w:val="22"/>
          <w:szCs w:val="22"/>
        </w:rPr>
        <w:t>musks</w:t>
      </w:r>
      <w:proofErr w:type="spellEnd"/>
      <w:r>
        <w:rPr>
          <w:sz w:val="22"/>
          <w:szCs w:val="22"/>
        </w:rPr>
        <w:t xml:space="preserve"> from the two major groups, </w:t>
      </w:r>
      <w:proofErr w:type="spellStart"/>
      <w:r>
        <w:rPr>
          <w:sz w:val="22"/>
          <w:szCs w:val="22"/>
        </w:rPr>
        <w:t>nitromusks</w:t>
      </w:r>
      <w:proofErr w:type="spellEnd"/>
      <w:r>
        <w:rPr>
          <w:sz w:val="22"/>
          <w:szCs w:val="22"/>
        </w:rPr>
        <w:t xml:space="preserve"> (musk ketone, musk xylene) and polycyclic </w:t>
      </w:r>
      <w:proofErr w:type="spellStart"/>
      <w:r>
        <w:rPr>
          <w:sz w:val="22"/>
          <w:szCs w:val="22"/>
        </w:rPr>
        <w:t>musks</w:t>
      </w:r>
      <w:proofErr w:type="spellEnd"/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galoxolide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tonalide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celestolide</w:t>
      </w:r>
      <w:proofErr w:type="spellEnd"/>
      <w:r>
        <w:rPr>
          <w:sz w:val="22"/>
          <w:szCs w:val="22"/>
        </w:rPr>
        <w:t xml:space="preserve">) and one industrial chemical (pentachlorophenol). The endpoints from two </w:t>
      </w:r>
      <w:proofErr w:type="spellStart"/>
      <w:r>
        <w:rPr>
          <w:sz w:val="22"/>
          <w:szCs w:val="22"/>
        </w:rPr>
        <w:t>cytotoxicty</w:t>
      </w:r>
      <w:proofErr w:type="spellEnd"/>
      <w:r>
        <w:rPr>
          <w:sz w:val="22"/>
          <w:szCs w:val="22"/>
        </w:rPr>
        <w:t xml:space="preserve"> assays namely the </w:t>
      </w:r>
      <w:proofErr w:type="spellStart"/>
      <w:r>
        <w:rPr>
          <w:sz w:val="22"/>
          <w:szCs w:val="22"/>
        </w:rPr>
        <w:t>Alamar</w:t>
      </w:r>
      <w:proofErr w:type="spellEnd"/>
      <w:r>
        <w:rPr>
          <w:sz w:val="22"/>
          <w:szCs w:val="22"/>
        </w:rPr>
        <w:t xml:space="preserve"> Blue (AB) for changes in energy metabolism and 5-carboxyfluorescein </w:t>
      </w:r>
      <w:proofErr w:type="spellStart"/>
      <w:r>
        <w:rPr>
          <w:sz w:val="22"/>
          <w:szCs w:val="22"/>
        </w:rPr>
        <w:t>diacetate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acetoxymethylester</w:t>
      </w:r>
      <w:proofErr w:type="spellEnd"/>
      <w:r>
        <w:rPr>
          <w:sz w:val="22"/>
          <w:szCs w:val="22"/>
        </w:rPr>
        <w:t xml:space="preserve"> (CFDA-AM) assay for evaluating membrane integrity were used in searching the relationship between </w:t>
      </w:r>
      <w:proofErr w:type="spellStart"/>
      <w:r>
        <w:rPr>
          <w:sz w:val="22"/>
          <w:szCs w:val="22"/>
        </w:rPr>
        <w:t>cytotoxicty</w:t>
      </w:r>
      <w:proofErr w:type="spellEnd"/>
      <w:r>
        <w:rPr>
          <w:sz w:val="22"/>
          <w:szCs w:val="22"/>
        </w:rPr>
        <w:t xml:space="preserve"> and descriptors obtained from chemical structure. In the data set, the </w:t>
      </w:r>
      <w:proofErr w:type="spellStart"/>
      <w:r>
        <w:rPr>
          <w:sz w:val="22"/>
          <w:szCs w:val="22"/>
        </w:rPr>
        <w:t>LogK</w:t>
      </w:r>
      <w:r>
        <w:rPr>
          <w:sz w:val="22"/>
          <w:szCs w:val="22"/>
          <w:vertAlign w:val="subscript"/>
        </w:rPr>
        <w:t>ow</w:t>
      </w:r>
      <w:proofErr w:type="spellEnd"/>
      <w:r>
        <w:rPr>
          <w:sz w:val="22"/>
          <w:szCs w:val="22"/>
        </w:rPr>
        <w:t xml:space="preserve"> and cytotoxicity of the chemicals had no relationship. Therefore, it is useful to search for descriptors which can be used to relate cytotoxicity obtained from the two </w:t>
      </w:r>
      <w:r>
        <w:rPr>
          <w:i/>
          <w:iCs/>
          <w:sz w:val="22"/>
          <w:szCs w:val="22"/>
        </w:rPr>
        <w:t>in vitro</w:t>
      </w:r>
      <w:r>
        <w:rPr>
          <w:sz w:val="22"/>
          <w:szCs w:val="22"/>
        </w:rPr>
        <w:t xml:space="preserve"> bioassays. The Multiple Linear Regression analysis which is an unambiguous algorithm in accordance with the OECD requirements was adopted in this study for cytotoxicity modelling.  Calculated SPARTAN 10 and DRAGON 6 descriptors were selected using all subset in QSARINS ((version 2.2.1.) (3, 4)). In both endpoints, the molecules in the data set were encoded best with the CATS 2D atom-pair descriptors. Five chemicals were used to test the </w:t>
      </w:r>
      <w:proofErr w:type="spellStart"/>
      <w:r>
        <w:rPr>
          <w:sz w:val="22"/>
          <w:szCs w:val="22"/>
        </w:rPr>
        <w:t>predictivity</w:t>
      </w:r>
      <w:proofErr w:type="spellEnd"/>
      <w:r>
        <w:rPr>
          <w:sz w:val="22"/>
          <w:szCs w:val="22"/>
        </w:rPr>
        <w:t xml:space="preserve"> of the generated models. Unknown cytotoxicity values of ten pharmaceuticals which fell in the applicability domain of the generated models were predicted from the developed models.</w:t>
      </w:r>
    </w:p>
    <w:p w:rsidR="00715A35" w:rsidRDefault="00715A35">
      <w:pPr>
        <w:jc w:val="both"/>
        <w:rPr>
          <w:sz w:val="25"/>
          <w:szCs w:val="25"/>
        </w:rPr>
      </w:pPr>
    </w:p>
    <w:p w:rsidR="00715A35" w:rsidRDefault="005F7E4F">
      <w:pPr>
        <w:pStyle w:val="Refrence"/>
        <w:tabs>
          <w:tab w:val="clear" w:pos="288"/>
        </w:tabs>
        <w:ind w:left="0" w:firstLine="0"/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/>
          <w:b/>
          <w:bCs/>
        </w:rPr>
        <w:t>Aknowledgments:</w:t>
      </w:r>
      <w:r>
        <w:rPr>
          <w:rFonts w:ascii="Times New Roman"/>
        </w:rPr>
        <w:t xml:space="preserve"> The support of this study by Bo</w:t>
      </w:r>
      <w:r>
        <w:rPr>
          <w:rFonts w:hAnsi="Arial Unicode MS"/>
        </w:rPr>
        <w:t>ğ</w:t>
      </w:r>
      <w:r>
        <w:rPr>
          <w:rFonts w:ascii="Times New Roman"/>
        </w:rPr>
        <w:t>azi</w:t>
      </w:r>
      <w:r>
        <w:rPr>
          <w:rFonts w:hAnsi="Arial Unicode MS"/>
        </w:rPr>
        <w:t>ç</w:t>
      </w:r>
      <w:r>
        <w:rPr>
          <w:rFonts w:ascii="Times New Roman"/>
        </w:rPr>
        <w:t>i University Research Fund (no: 8502) is acknowledged. Authors also would like to thank Prof. P. Gramatica for providing QSARINS program.</w:t>
      </w:r>
    </w:p>
    <w:p w:rsidR="00715A35" w:rsidRDefault="00715A35">
      <w:pPr>
        <w:pStyle w:val="Refrence"/>
        <w:tabs>
          <w:tab w:val="clear" w:pos="288"/>
        </w:tabs>
        <w:ind w:left="0" w:firstLine="0"/>
        <w:rPr>
          <w:rFonts w:ascii="Times New Roman" w:eastAsia="Times New Roman" w:hAnsi="Times New Roman" w:cs="Times New Roman"/>
          <w:b/>
          <w:bCs/>
          <w:lang w:val="en-US"/>
        </w:rPr>
      </w:pPr>
    </w:p>
    <w:p w:rsidR="00715A35" w:rsidRDefault="005F7E4F">
      <w:pPr>
        <w:pStyle w:val="Refrence"/>
        <w:tabs>
          <w:tab w:val="clear" w:pos="288"/>
        </w:tabs>
        <w:ind w:left="0" w:firstLine="0"/>
        <w:rPr>
          <w:rFonts w:ascii="Times New Roman" w:eastAsia="Times New Roman" w:hAnsi="Times New Roman" w:cs="Times New Roman"/>
          <w:b/>
          <w:bCs/>
          <w:sz w:val="16"/>
          <w:szCs w:val="16"/>
          <w:lang w:val="en-US"/>
        </w:rPr>
      </w:pPr>
      <w:r>
        <w:rPr>
          <w:rFonts w:ascii="Times New Roman"/>
          <w:b/>
          <w:bCs/>
          <w:lang w:val="en-US"/>
        </w:rPr>
        <w:t>References:</w:t>
      </w:r>
    </w:p>
    <w:p w:rsidR="00715A35" w:rsidRDefault="005F7E4F">
      <w:pPr>
        <w:pStyle w:val="Refrence"/>
        <w:tabs>
          <w:tab w:val="clear" w:pos="288"/>
        </w:tabs>
        <w:ind w:left="0" w:firstLine="0"/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/>
          <w:lang w:val="en-US"/>
        </w:rPr>
        <w:t xml:space="preserve">1) Regulation (EC) No 1907/2006 of the European Parliament and of the Council of 18 December 2006 concerning the Registration, Evaluation, </w:t>
      </w:r>
      <w:proofErr w:type="spellStart"/>
      <w:r>
        <w:rPr>
          <w:rFonts w:ascii="Times New Roman"/>
          <w:lang w:val="en-US"/>
        </w:rPr>
        <w:t>Authorisation</w:t>
      </w:r>
      <w:proofErr w:type="spellEnd"/>
      <w:r>
        <w:rPr>
          <w:rFonts w:ascii="Times New Roman"/>
          <w:lang w:val="en-US"/>
        </w:rPr>
        <w:t xml:space="preserve"> and Restriction of Chemicals (REACH). Official Journal of the European Union, L 396, 1</w:t>
      </w:r>
      <w:r>
        <w:rPr>
          <w:rFonts w:hAnsi="Arial Unicode MS"/>
          <w:lang w:val="en-US"/>
        </w:rPr>
        <w:t>−</w:t>
      </w:r>
      <w:r>
        <w:rPr>
          <w:rFonts w:ascii="Times New Roman"/>
          <w:lang w:val="en-US"/>
        </w:rPr>
        <w:t>849.</w:t>
      </w:r>
    </w:p>
    <w:p w:rsidR="00715A35" w:rsidRDefault="005F7E4F">
      <w:pPr>
        <w:rPr>
          <w:sz w:val="20"/>
          <w:szCs w:val="20"/>
        </w:rPr>
      </w:pPr>
      <w:r>
        <w:rPr>
          <w:rFonts w:eastAsia="Arial Unicode MS" w:hAnsi="Arial Unicode MS" w:cs="Arial Unicode MS"/>
          <w:sz w:val="20"/>
          <w:szCs w:val="20"/>
        </w:rPr>
        <w:t xml:space="preserve">2) Schnell S., </w:t>
      </w:r>
      <w:proofErr w:type="spellStart"/>
      <w:r>
        <w:rPr>
          <w:rFonts w:eastAsia="Arial Unicode MS" w:hAnsi="Arial Unicode MS" w:cs="Arial Unicode MS"/>
          <w:sz w:val="20"/>
          <w:szCs w:val="20"/>
        </w:rPr>
        <w:t>Bols</w:t>
      </w:r>
      <w:proofErr w:type="spellEnd"/>
      <w:r>
        <w:rPr>
          <w:rFonts w:eastAsia="Arial Unicode MS" w:hAnsi="Arial Unicode MS" w:cs="Arial Unicode MS"/>
          <w:sz w:val="20"/>
          <w:szCs w:val="20"/>
        </w:rPr>
        <w:t xml:space="preserve"> N.C., </w:t>
      </w:r>
      <w:proofErr w:type="spellStart"/>
      <w:r>
        <w:rPr>
          <w:rFonts w:eastAsia="Arial Unicode MS" w:hAnsi="Arial Unicode MS" w:cs="Arial Unicode MS"/>
          <w:sz w:val="20"/>
          <w:szCs w:val="20"/>
        </w:rPr>
        <w:t>Barata</w:t>
      </w:r>
      <w:proofErr w:type="spellEnd"/>
      <w:r>
        <w:rPr>
          <w:rFonts w:eastAsia="Arial Unicode MS" w:hAnsi="Arial Unicode MS" w:cs="Arial Unicode MS"/>
          <w:sz w:val="20"/>
          <w:szCs w:val="20"/>
        </w:rPr>
        <w:t xml:space="preserve"> C., Porte C. Single and combined toxicity of </w:t>
      </w:r>
      <w:proofErr w:type="spellStart"/>
      <w:r>
        <w:rPr>
          <w:rFonts w:eastAsia="Arial Unicode MS" w:hAnsi="Arial Unicode MS" w:cs="Arial Unicode MS"/>
          <w:sz w:val="20"/>
          <w:szCs w:val="20"/>
        </w:rPr>
        <w:t>pharmaceuticlas</w:t>
      </w:r>
      <w:proofErr w:type="spellEnd"/>
      <w:r>
        <w:rPr>
          <w:rFonts w:eastAsia="Arial Unicode MS" w:hAnsi="Arial Unicode MS" w:cs="Arial Unicode MS"/>
          <w:sz w:val="20"/>
          <w:szCs w:val="20"/>
        </w:rPr>
        <w:t xml:space="preserve"> and personal care products (PPCPs) on the rainbow trout liver cell line RTL-W1, Aquatic Toxicology, 93, 244-252.</w:t>
      </w:r>
    </w:p>
    <w:p w:rsidR="00715A35" w:rsidRDefault="005F7E4F">
      <w:pPr>
        <w:pStyle w:val="Refrence"/>
        <w:tabs>
          <w:tab w:val="clear" w:pos="288"/>
        </w:tabs>
        <w:ind w:left="0" w:firstLine="0"/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/>
          <w:lang w:val="it-IT"/>
        </w:rPr>
        <w:t xml:space="preserve">3) P. Gramatica, N. Chirico, E. Papa, S. Cassani, , S. Kovarich, J. Comp. </w:t>
      </w:r>
      <w:r>
        <w:rPr>
          <w:rFonts w:ascii="Times New Roman"/>
          <w:lang w:val="en-US"/>
        </w:rPr>
        <w:t>Chem., 34 (2013), 2121-2132.</w:t>
      </w:r>
    </w:p>
    <w:p w:rsidR="00715A35" w:rsidRDefault="005F7E4F">
      <w:pPr>
        <w:pStyle w:val="Refrence"/>
        <w:tabs>
          <w:tab w:val="clear" w:pos="288"/>
        </w:tabs>
        <w:ind w:left="0" w:firstLine="0"/>
      </w:pPr>
      <w:r>
        <w:rPr>
          <w:rFonts w:ascii="Times New Roman"/>
          <w:lang w:val="it-IT"/>
        </w:rPr>
        <w:t xml:space="preserve">4) P. Gramatica, S. Cassani, N. Chirico, J. Comp. </w:t>
      </w:r>
      <w:r>
        <w:rPr>
          <w:rFonts w:ascii="Times New Roman"/>
        </w:rPr>
        <w:t>Chem. 35 (2014) 1036</w:t>
      </w:r>
      <w:r>
        <w:rPr>
          <w:rFonts w:hAnsi="Arial Unicode MS"/>
        </w:rPr>
        <w:t>–</w:t>
      </w:r>
      <w:r>
        <w:rPr>
          <w:rFonts w:ascii="Times New Roman"/>
        </w:rPr>
        <w:t xml:space="preserve">1044. </w:t>
      </w:r>
      <w:hyperlink r:id="rId8" w:history="1">
        <w:r>
          <w:rPr>
            <w:rStyle w:val="Hyperlink1"/>
            <w:rFonts w:ascii="Times New Roman"/>
          </w:rPr>
          <w:t>http://www.qsar.it</w:t>
        </w:r>
      </w:hyperlink>
    </w:p>
    <w:sectPr w:rsidR="00715A35">
      <w:headerReference w:type="default" r:id="rId9"/>
      <w:footerReference w:type="default" r:id="rId10"/>
      <w:pgSz w:w="11900" w:h="16840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1BE5" w:rsidRDefault="00601BE5">
      <w:r>
        <w:separator/>
      </w:r>
    </w:p>
  </w:endnote>
  <w:endnote w:type="continuationSeparator" w:id="0">
    <w:p w:rsidR="00601BE5" w:rsidRDefault="00601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A35" w:rsidRDefault="00715A35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1BE5" w:rsidRDefault="00601BE5">
      <w:r>
        <w:separator/>
      </w:r>
    </w:p>
  </w:footnote>
  <w:footnote w:type="continuationSeparator" w:id="0">
    <w:p w:rsidR="00601BE5" w:rsidRDefault="00601B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A35" w:rsidRDefault="00715A35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A35"/>
    <w:rsid w:val="00523237"/>
    <w:rsid w:val="005F7E4F"/>
    <w:rsid w:val="00601BE5"/>
    <w:rsid w:val="00715A35"/>
    <w:rsid w:val="009A1428"/>
    <w:rsid w:val="00F30657"/>
    <w:rsid w:val="00FD7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5C8BA23-707E-494B-A330-DB56AF685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rFonts w:eastAsia="Times New Roman"/>
      <w:color w:val="000000"/>
      <w:sz w:val="24"/>
      <w:szCs w:val="24"/>
      <w:u w:color="00000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Affiliation">
    <w:name w:val="Affiliation"/>
    <w:pPr>
      <w:keepNext/>
      <w:tabs>
        <w:tab w:val="left" w:pos="288"/>
      </w:tabs>
      <w:suppressAutoHyphens/>
      <w:jc w:val="center"/>
    </w:pPr>
    <w:rPr>
      <w:rFonts w:ascii="Calibri" w:eastAsia="Calibri" w:hAnsi="Calibri" w:cs="Calibri"/>
      <w:color w:val="000000"/>
      <w:u w:color="000000"/>
      <w:lang w:val="en-US"/>
    </w:rPr>
  </w:style>
  <w:style w:type="character" w:customStyle="1" w:styleId="Hyperlink0">
    <w:name w:val="Hyperlink.0"/>
    <w:basedOn w:val="Hyperlink"/>
    <w:rPr>
      <w:color w:val="0000FF"/>
      <w:u w:val="single" w:color="0000FF"/>
    </w:rPr>
  </w:style>
  <w:style w:type="paragraph" w:customStyle="1" w:styleId="Refrence">
    <w:name w:val="Refrence"/>
    <w:pPr>
      <w:tabs>
        <w:tab w:val="left" w:pos="288"/>
      </w:tabs>
      <w:suppressAutoHyphens/>
      <w:ind w:left="431" w:hanging="431"/>
      <w:jc w:val="both"/>
    </w:pPr>
    <w:rPr>
      <w:rFonts w:ascii="Calibri" w:eastAsia="Calibri" w:hAnsi="Calibri" w:cs="Calibri"/>
      <w:color w:val="000000"/>
      <w:u w:color="000000"/>
      <w:lang w:val="de-DE"/>
    </w:rPr>
  </w:style>
  <w:style w:type="character" w:customStyle="1" w:styleId="Hyperlink1">
    <w:name w:val="Hyperlink.1"/>
    <w:basedOn w:val="Hyperlink0"/>
    <w:rPr>
      <w:color w:val="0000FF"/>
      <w:u w:val="single" w:color="0000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14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428"/>
    <w:rPr>
      <w:rFonts w:ascii="Segoe UI" w:eastAsia="Times New Roman" w:hAnsi="Segoe UI" w:cs="Segoe UI"/>
      <w:color w:val="000000"/>
      <w:sz w:val="18"/>
      <w:szCs w:val="18"/>
      <w:u w:color="00000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qsar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sacnan@boun.edu.tr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sacnan@boun.edu.tr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653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Melek</dc:creator>
  <cp:lastModifiedBy>hp</cp:lastModifiedBy>
  <cp:revision>2</cp:revision>
  <dcterms:created xsi:type="dcterms:W3CDTF">2015-05-22T08:26:00Z</dcterms:created>
  <dcterms:modified xsi:type="dcterms:W3CDTF">2015-05-22T08:26:00Z</dcterms:modified>
</cp:coreProperties>
</file>