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05" w:rsidRPr="00BE58AA" w:rsidRDefault="00D8399B" w:rsidP="00DF6705">
      <w:pPr>
        <w:spacing w:after="120"/>
        <w:rPr>
          <w:rFonts w:ascii="Arial" w:hAnsi="Arial" w:cs="Arial"/>
          <w:b/>
          <w:noProof/>
          <w:sz w:val="28"/>
          <w:szCs w:val="28"/>
          <w:lang w:val="en-US"/>
        </w:rPr>
      </w:pPr>
      <w:r w:rsidRPr="00BE58AA">
        <w:rPr>
          <w:rFonts w:ascii="Arial" w:hAnsi="Arial" w:cs="Arial"/>
          <w:b/>
          <w:noProof/>
          <w:sz w:val="28"/>
          <w:szCs w:val="28"/>
          <w:lang w:val="en-US"/>
        </w:rPr>
        <w:t>Radical driven oxidation processes of isoprene degradation products in the tropospheric aqueous phase</w:t>
      </w:r>
    </w:p>
    <w:p w:rsidR="001F4812" w:rsidRPr="00BE58AA" w:rsidRDefault="001F4812" w:rsidP="00DF6705">
      <w:pPr>
        <w:spacing w:after="120"/>
        <w:rPr>
          <w:rFonts w:ascii="Arial" w:hAnsi="Arial" w:cs="Arial"/>
          <w:b/>
          <w:noProof/>
          <w:sz w:val="32"/>
          <w:szCs w:val="32"/>
          <w:lang w:val="en-US"/>
        </w:rPr>
      </w:pPr>
    </w:p>
    <w:p w:rsidR="00DF6705" w:rsidRPr="00BE58AA" w:rsidRDefault="00D8399B" w:rsidP="00DF6705">
      <w:pPr>
        <w:spacing w:after="120"/>
        <w:rPr>
          <w:rFonts w:ascii="Arial" w:hAnsi="Arial" w:cs="Arial"/>
          <w:smallCaps/>
          <w:noProof/>
          <w:vertAlign w:val="superscript"/>
          <w:lang w:val="en-US"/>
        </w:rPr>
      </w:pPr>
      <w:r w:rsidRPr="00BE58AA">
        <w:rPr>
          <w:rFonts w:ascii="Arial" w:hAnsi="Arial" w:cs="Arial"/>
          <w:smallCaps/>
          <w:noProof/>
          <w:u w:val="single"/>
          <w:lang w:val="en-US"/>
        </w:rPr>
        <w:t>Tobias Otto</w:t>
      </w:r>
      <w:r w:rsidRPr="00BE58AA">
        <w:rPr>
          <w:rFonts w:ascii="Arial" w:hAnsi="Arial" w:cs="Arial"/>
          <w:smallCaps/>
          <w:noProof/>
          <w:lang w:val="en-US"/>
        </w:rPr>
        <w:t>, Bastian Stieger, Thomas Schaefer, Hartmut Herrmann</w:t>
      </w:r>
    </w:p>
    <w:p w:rsidR="00DF6705" w:rsidRPr="00BE58AA" w:rsidRDefault="00D8399B" w:rsidP="00DF6705">
      <w:pPr>
        <w:rPr>
          <w:rFonts w:ascii="Arial" w:hAnsi="Arial" w:cs="Arial"/>
          <w:noProof/>
          <w:sz w:val="18"/>
          <w:szCs w:val="18"/>
          <w:lang w:val="en-US"/>
        </w:rPr>
      </w:pPr>
      <w:r w:rsidRPr="00BE58AA">
        <w:rPr>
          <w:rFonts w:ascii="Arial" w:hAnsi="Arial" w:cs="Arial"/>
          <w:noProof/>
          <w:sz w:val="18"/>
          <w:szCs w:val="18"/>
          <w:lang w:val="en-US"/>
        </w:rPr>
        <w:t>Leibniz Institute for Tropospheric Research (TROPOS)</w:t>
      </w:r>
      <w:r w:rsidR="00A34C75" w:rsidRPr="00BE58AA">
        <w:rPr>
          <w:rFonts w:ascii="Arial" w:hAnsi="Arial" w:cs="Arial"/>
          <w:noProof/>
          <w:sz w:val="18"/>
          <w:szCs w:val="18"/>
          <w:lang w:val="en-US"/>
        </w:rPr>
        <w:t xml:space="preserve">, </w:t>
      </w:r>
      <w:r w:rsidR="00A62751" w:rsidRPr="00BE58AA">
        <w:rPr>
          <w:rFonts w:ascii="Arial" w:hAnsi="Arial" w:cs="Arial"/>
          <w:noProof/>
          <w:sz w:val="18"/>
          <w:szCs w:val="18"/>
          <w:lang w:val="en-US"/>
        </w:rPr>
        <w:t>Atmospheric Chemistry Department</w:t>
      </w:r>
      <w:r w:rsidR="00A34C75" w:rsidRPr="00BE58AA">
        <w:rPr>
          <w:rFonts w:ascii="Arial" w:hAnsi="Arial" w:cs="Arial"/>
          <w:noProof/>
          <w:sz w:val="18"/>
          <w:szCs w:val="18"/>
          <w:lang w:val="en-US"/>
        </w:rPr>
        <w:t xml:space="preserve">, </w:t>
      </w:r>
      <w:r w:rsidR="00A62751" w:rsidRPr="00BE58AA">
        <w:rPr>
          <w:rFonts w:ascii="Arial" w:hAnsi="Arial" w:cs="Arial"/>
          <w:noProof/>
          <w:sz w:val="18"/>
          <w:szCs w:val="18"/>
          <w:lang w:val="en-US"/>
        </w:rPr>
        <w:t>Permoserstraße 15</w:t>
      </w:r>
      <w:r w:rsidR="00A34C75" w:rsidRPr="00BE58AA">
        <w:rPr>
          <w:rFonts w:ascii="Arial" w:hAnsi="Arial" w:cs="Arial"/>
          <w:noProof/>
          <w:sz w:val="18"/>
          <w:szCs w:val="18"/>
          <w:lang w:val="en-US"/>
        </w:rPr>
        <w:t xml:space="preserve">, </w:t>
      </w:r>
      <w:r w:rsidR="00A62751" w:rsidRPr="00BE58AA">
        <w:rPr>
          <w:rFonts w:ascii="Arial" w:hAnsi="Arial" w:cs="Arial"/>
          <w:noProof/>
          <w:sz w:val="18"/>
          <w:szCs w:val="18"/>
          <w:lang w:val="en-US"/>
        </w:rPr>
        <w:t>04318 Leipzig,</w:t>
      </w:r>
      <w:r w:rsidR="00A34C75" w:rsidRPr="00BE58AA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hyperlink r:id="rId5" w:history="1">
        <w:r w:rsidR="00A62751" w:rsidRPr="00BE58AA">
          <w:rPr>
            <w:rStyle w:val="Hyperlink"/>
            <w:rFonts w:ascii="Arial" w:hAnsi="Arial" w:cs="Arial"/>
            <w:noProof/>
            <w:sz w:val="18"/>
            <w:szCs w:val="18"/>
            <w:lang w:val="en-US"/>
          </w:rPr>
          <w:t>tobias.otto@tropos.de</w:t>
        </w:r>
      </w:hyperlink>
      <w:r w:rsidR="00A62751" w:rsidRPr="00BE58AA">
        <w:rPr>
          <w:rFonts w:ascii="Arial" w:hAnsi="Arial" w:cs="Arial"/>
          <w:noProof/>
          <w:sz w:val="18"/>
          <w:szCs w:val="18"/>
          <w:lang w:val="en-US"/>
        </w:rPr>
        <w:t xml:space="preserve"> </w:t>
      </w:r>
    </w:p>
    <w:p w:rsidR="00241318" w:rsidRPr="00BE58AA" w:rsidRDefault="00241318">
      <w:pPr>
        <w:rPr>
          <w:lang w:val="en-US"/>
        </w:rPr>
      </w:pPr>
    </w:p>
    <w:p w:rsidR="006F0B5F" w:rsidRPr="00BE58AA" w:rsidRDefault="00A62751" w:rsidP="00A62751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BE58AA">
        <w:rPr>
          <w:rFonts w:ascii="Arial" w:hAnsi="Arial" w:cs="Arial"/>
          <w:noProof/>
          <w:sz w:val="20"/>
          <w:szCs w:val="20"/>
          <w:lang w:val="en-US"/>
        </w:rPr>
        <w:t>Primarily emi</w:t>
      </w:r>
      <w:r w:rsidR="00C8496E" w:rsidRPr="00BE58AA">
        <w:rPr>
          <w:rFonts w:ascii="Arial" w:hAnsi="Arial" w:cs="Arial"/>
          <w:noProof/>
          <w:sz w:val="20"/>
          <w:szCs w:val="20"/>
          <w:lang w:val="en-US"/>
        </w:rPr>
        <w:t>tted vo</w:t>
      </w:r>
      <w:r w:rsidR="00131849" w:rsidRPr="00BE58AA">
        <w:rPr>
          <w:rFonts w:ascii="Arial" w:hAnsi="Arial" w:cs="Arial"/>
          <w:noProof/>
          <w:sz w:val="20"/>
          <w:szCs w:val="20"/>
          <w:lang w:val="en-US"/>
        </w:rPr>
        <w:t>latile organic compounds (VOCs)</w:t>
      </w:r>
      <w:r w:rsidR="00C8496E" w:rsidRPr="00BE58AA">
        <w:rPr>
          <w:rFonts w:ascii="Arial" w:hAnsi="Arial" w:cs="Arial"/>
          <w:noProof/>
          <w:sz w:val="20"/>
          <w:szCs w:val="20"/>
          <w:lang w:val="en-US"/>
        </w:rPr>
        <w:t xml:space="preserve"> are degraded in the tropospheric gas phase by common oxidizing agents, such as hydroxyl or nitrate radicals. Isoprene is one of those</w:t>
      </w:r>
      <w:r w:rsidR="004F56EC" w:rsidRPr="00BE58AA">
        <w:rPr>
          <w:rFonts w:ascii="Arial" w:hAnsi="Arial" w:cs="Arial"/>
          <w:noProof/>
          <w:sz w:val="20"/>
          <w:szCs w:val="20"/>
          <w:lang w:val="en-US"/>
        </w:rPr>
        <w:t xml:space="preserve"> VOCs</w:t>
      </w:r>
      <w:r w:rsidR="00C8496E" w:rsidRPr="00BE58AA">
        <w:rPr>
          <w:rFonts w:ascii="Arial" w:hAnsi="Arial" w:cs="Arial"/>
          <w:noProof/>
          <w:sz w:val="20"/>
          <w:szCs w:val="20"/>
          <w:lang w:val="en-US"/>
        </w:rPr>
        <w:t>, especially a biogenic volatile organic compound (BVOC)</w:t>
      </w:r>
      <w:r w:rsidR="00274382" w:rsidRPr="00BE58AA">
        <w:rPr>
          <w:rFonts w:ascii="Arial" w:hAnsi="Arial" w:cs="Arial"/>
          <w:noProof/>
          <w:sz w:val="20"/>
          <w:szCs w:val="20"/>
          <w:lang w:val="en-US"/>
        </w:rPr>
        <w:t>, with a source strength of 520–672 Tg a</w:t>
      </w:r>
      <w:r w:rsidR="00274382" w:rsidRPr="00BE58AA">
        <w:rPr>
          <w:rFonts w:ascii="Arial" w:hAnsi="Arial" w:cs="Arial"/>
          <w:noProof/>
          <w:sz w:val="20"/>
          <w:szCs w:val="20"/>
          <w:vertAlign w:val="superscript"/>
          <w:lang w:val="en-US"/>
        </w:rPr>
        <w:t>-1</w:t>
      </w:r>
      <w:r w:rsidR="00274382" w:rsidRPr="00BE58AA">
        <w:rPr>
          <w:rFonts w:ascii="Arial" w:hAnsi="Arial" w:cs="Arial"/>
          <w:noProof/>
          <w:sz w:val="20"/>
          <w:szCs w:val="20"/>
          <w:lang w:val="en-US"/>
        </w:rPr>
        <w:t xml:space="preserve"> (Sindelarova </w:t>
      </w:r>
      <w:r w:rsidR="00274382" w:rsidRPr="00BE58AA">
        <w:rPr>
          <w:rFonts w:ascii="Arial" w:hAnsi="Arial" w:cs="Arial"/>
          <w:i/>
          <w:noProof/>
          <w:sz w:val="20"/>
          <w:szCs w:val="20"/>
          <w:lang w:val="en-US"/>
        </w:rPr>
        <w:t>et al.</w:t>
      </w:r>
      <w:r w:rsidR="00274382" w:rsidRPr="00BE58AA">
        <w:rPr>
          <w:rFonts w:ascii="Arial" w:hAnsi="Arial" w:cs="Arial"/>
          <w:noProof/>
          <w:sz w:val="20"/>
          <w:szCs w:val="20"/>
          <w:lang w:val="en-US"/>
        </w:rPr>
        <w:t>, 2014)</w:t>
      </w:r>
      <w:r w:rsidR="00C8496E" w:rsidRPr="00BE58AA">
        <w:rPr>
          <w:rFonts w:ascii="Arial" w:hAnsi="Arial" w:cs="Arial"/>
          <w:noProof/>
          <w:sz w:val="20"/>
          <w:szCs w:val="20"/>
          <w:lang w:val="en-US"/>
        </w:rPr>
        <w:t>. The resulting products</w:t>
      </w:r>
      <w:r w:rsidR="00DA4617" w:rsidRPr="00BE58AA">
        <w:rPr>
          <w:rFonts w:ascii="Arial" w:hAnsi="Arial" w:cs="Arial"/>
          <w:noProof/>
          <w:sz w:val="20"/>
          <w:szCs w:val="20"/>
          <w:lang w:val="en-US"/>
        </w:rPr>
        <w:t xml:space="preserve"> of these degradation reactions have a decreased volatility and an</w:t>
      </w:r>
      <w:r w:rsidR="00274382" w:rsidRPr="00BE58AA">
        <w:rPr>
          <w:rFonts w:ascii="Arial" w:hAnsi="Arial" w:cs="Arial"/>
          <w:noProof/>
          <w:sz w:val="20"/>
          <w:szCs w:val="20"/>
          <w:lang w:val="en-US"/>
        </w:rPr>
        <w:t xml:space="preserve"> increased water solubility. Consequently, the first generation oxidation products</w:t>
      </w:r>
      <w:r w:rsidR="006F0B5F" w:rsidRPr="00BE58AA">
        <w:rPr>
          <w:rFonts w:ascii="Arial" w:hAnsi="Arial" w:cs="Arial"/>
          <w:noProof/>
          <w:sz w:val="20"/>
          <w:szCs w:val="20"/>
          <w:lang w:val="en-US"/>
        </w:rPr>
        <w:t>, methacrolein and methyl vinyl ketone,</w:t>
      </w:r>
      <w:r w:rsidR="001E63CC" w:rsidRPr="00BE58AA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6F0B5F" w:rsidRPr="00BE58AA">
        <w:rPr>
          <w:rFonts w:ascii="Arial" w:hAnsi="Arial" w:cs="Arial"/>
          <w:noProof/>
          <w:sz w:val="20"/>
          <w:szCs w:val="20"/>
          <w:lang w:val="en-US"/>
        </w:rPr>
        <w:t>of isoprene occur in the tropospheric aqueous phas</w:t>
      </w:r>
      <w:r w:rsidR="00153D18" w:rsidRPr="00BE58AA">
        <w:rPr>
          <w:rFonts w:ascii="Arial" w:hAnsi="Arial" w:cs="Arial"/>
          <w:noProof/>
          <w:sz w:val="20"/>
          <w:szCs w:val="20"/>
          <w:lang w:val="en-US"/>
        </w:rPr>
        <w:t>e</w:t>
      </w:r>
      <w:r w:rsidR="00131849" w:rsidRPr="00BE58AA">
        <w:rPr>
          <w:rFonts w:ascii="Arial" w:hAnsi="Arial" w:cs="Arial"/>
          <w:noProof/>
          <w:sz w:val="20"/>
          <w:szCs w:val="20"/>
          <w:lang w:val="en-US"/>
        </w:rPr>
        <w:t>.</w:t>
      </w:r>
      <w:r w:rsidR="00153D18" w:rsidRPr="00BE58AA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131849" w:rsidRPr="00BE58AA">
        <w:rPr>
          <w:rFonts w:ascii="Arial" w:hAnsi="Arial" w:cs="Arial"/>
          <w:noProof/>
          <w:sz w:val="20"/>
          <w:szCs w:val="20"/>
          <w:lang w:val="en-US"/>
        </w:rPr>
        <w:t>T</w:t>
      </w:r>
      <w:r w:rsidR="00153D18" w:rsidRPr="00BE58AA">
        <w:rPr>
          <w:rFonts w:ascii="Arial" w:hAnsi="Arial" w:cs="Arial"/>
          <w:noProof/>
          <w:sz w:val="20"/>
          <w:szCs w:val="20"/>
          <w:lang w:val="en-US"/>
        </w:rPr>
        <w:t>heir</w:t>
      </w:r>
      <w:r w:rsidR="006F0B5F" w:rsidRPr="00BE58AA">
        <w:rPr>
          <w:rFonts w:ascii="Arial" w:hAnsi="Arial" w:cs="Arial"/>
          <w:noProof/>
          <w:sz w:val="20"/>
          <w:szCs w:val="20"/>
          <w:lang w:val="en-US"/>
        </w:rPr>
        <w:t xml:space="preserve"> suggested oxidation products,</w:t>
      </w:r>
      <w:r w:rsidR="00153D18" w:rsidRPr="00BE58AA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6F0B5F" w:rsidRPr="00BE58AA">
        <w:rPr>
          <w:rFonts w:ascii="Arial" w:hAnsi="Arial" w:cs="Arial"/>
          <w:noProof/>
          <w:sz w:val="20"/>
          <w:szCs w:val="20"/>
          <w:lang w:val="en-US"/>
        </w:rPr>
        <w:t xml:space="preserve">such as </w:t>
      </w:r>
      <w:r w:rsidR="00C528F2" w:rsidRPr="00BE58AA">
        <w:rPr>
          <w:rFonts w:ascii="Arial" w:hAnsi="Arial" w:cs="Arial"/>
          <w:noProof/>
          <w:sz w:val="20"/>
          <w:szCs w:val="20"/>
          <w:lang w:val="en-US"/>
        </w:rPr>
        <w:t>2-methyl-2-oxiranecarboxaldehyde</w:t>
      </w:r>
      <w:r w:rsidR="006F0B5F" w:rsidRPr="00BE58AA">
        <w:rPr>
          <w:rFonts w:ascii="Arial" w:hAnsi="Arial" w:cs="Arial"/>
          <w:noProof/>
          <w:sz w:val="20"/>
          <w:szCs w:val="20"/>
          <w:lang w:val="en-US"/>
        </w:rPr>
        <w:t>, 1-oxiran-2-ylethanone and 2,3-dihydroxy-2-methylpropanal</w:t>
      </w:r>
      <w:r w:rsidR="00131849" w:rsidRPr="00BE58AA">
        <w:rPr>
          <w:rFonts w:ascii="Arial" w:hAnsi="Arial" w:cs="Arial"/>
          <w:noProof/>
          <w:sz w:val="20"/>
          <w:szCs w:val="20"/>
          <w:lang w:val="en-US"/>
        </w:rPr>
        <w:t xml:space="preserve"> can also exist </w:t>
      </w:r>
      <w:r w:rsidR="00D20F44" w:rsidRPr="00BE58AA">
        <w:rPr>
          <w:rFonts w:ascii="Arial" w:hAnsi="Arial" w:cs="Arial"/>
          <w:noProof/>
          <w:sz w:val="20"/>
          <w:szCs w:val="20"/>
          <w:lang w:val="en-US"/>
        </w:rPr>
        <w:t>in the aqueous phase</w:t>
      </w:r>
      <w:r w:rsidR="006F0B5F" w:rsidRPr="00BE58AA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4F56EC" w:rsidRPr="00BE58AA" w:rsidRDefault="004F56EC" w:rsidP="00A62751">
      <w:pPr>
        <w:jc w:val="both"/>
        <w:rPr>
          <w:rFonts w:ascii="Arial" w:hAnsi="Arial" w:cs="Arial"/>
          <w:noProof/>
          <w:sz w:val="20"/>
          <w:szCs w:val="20"/>
          <w:vertAlign w:val="subscript"/>
          <w:lang w:val="en-US"/>
        </w:rPr>
      </w:pPr>
      <w:r w:rsidRPr="00BE58AA">
        <w:rPr>
          <w:rFonts w:ascii="Arial" w:hAnsi="Arial" w:cs="Arial"/>
          <w:noProof/>
          <w:sz w:val="20"/>
          <w:szCs w:val="20"/>
          <w:lang w:val="en-US"/>
        </w:rPr>
        <w:t>T</w:t>
      </w:r>
      <w:r w:rsidR="006F0B5F" w:rsidRPr="00BE58AA">
        <w:rPr>
          <w:rFonts w:ascii="Arial" w:hAnsi="Arial" w:cs="Arial"/>
          <w:noProof/>
          <w:sz w:val="20"/>
          <w:szCs w:val="20"/>
          <w:lang w:val="en-US"/>
        </w:rPr>
        <w:t xml:space="preserve">his study </w:t>
      </w:r>
      <w:r w:rsidRPr="00BE58AA">
        <w:rPr>
          <w:rFonts w:ascii="Arial" w:hAnsi="Arial" w:cs="Arial"/>
          <w:noProof/>
          <w:sz w:val="20"/>
          <w:szCs w:val="20"/>
          <w:lang w:val="en-US"/>
        </w:rPr>
        <w:t>aim</w:t>
      </w:r>
      <w:r w:rsidR="006F0B5F" w:rsidRPr="00BE58AA">
        <w:rPr>
          <w:rFonts w:ascii="Arial" w:hAnsi="Arial" w:cs="Arial"/>
          <w:noProof/>
          <w:sz w:val="20"/>
          <w:szCs w:val="20"/>
          <w:lang w:val="en-US"/>
        </w:rPr>
        <w:t xml:space="preserve">s the investigation of the above mentioned methyl vinyl ketone and methacrolein oxidation products concerning their kinetics in aqueous-phase radical reactions with hydroxyl, nitrate and sulfate radicals. </w:t>
      </w:r>
      <w:r w:rsidR="00473146" w:rsidRPr="00BE58AA">
        <w:rPr>
          <w:rFonts w:ascii="Arial" w:hAnsi="Arial" w:cs="Arial"/>
          <w:noProof/>
          <w:sz w:val="20"/>
          <w:szCs w:val="20"/>
          <w:lang w:val="en-US"/>
        </w:rPr>
        <w:t>These radical kinetic investigations are carried out with a laser flash photolysis</w:t>
      </w:r>
      <w:r w:rsidR="00AE4FEE" w:rsidRPr="00BE58AA">
        <w:rPr>
          <w:rFonts w:ascii="Arial" w:hAnsi="Arial" w:cs="Arial"/>
          <w:noProof/>
          <w:sz w:val="20"/>
          <w:szCs w:val="20"/>
          <w:lang w:val="en-US"/>
        </w:rPr>
        <w:t>–</w:t>
      </w:r>
      <w:r w:rsidR="00473146" w:rsidRPr="00BE58AA">
        <w:rPr>
          <w:rFonts w:ascii="Arial" w:hAnsi="Arial" w:cs="Arial"/>
          <w:noProof/>
          <w:sz w:val="20"/>
          <w:szCs w:val="20"/>
          <w:lang w:val="en-US"/>
        </w:rPr>
        <w:t>long path absorption (LFP</w:t>
      </w:r>
      <w:r w:rsidRPr="00BE58AA">
        <w:rPr>
          <w:rFonts w:ascii="Arial" w:hAnsi="Arial" w:cs="Arial"/>
          <w:noProof/>
          <w:sz w:val="20"/>
          <w:szCs w:val="20"/>
          <w:lang w:val="en-US"/>
        </w:rPr>
        <w:t>–</w:t>
      </w:r>
      <w:r w:rsidR="00473146" w:rsidRPr="00BE58AA">
        <w:rPr>
          <w:rFonts w:ascii="Arial" w:hAnsi="Arial" w:cs="Arial"/>
          <w:noProof/>
          <w:sz w:val="20"/>
          <w:szCs w:val="20"/>
          <w:lang w:val="en-US"/>
        </w:rPr>
        <w:t xml:space="preserve">LPA) setup to determine temperature dependent second order rate constants as well as activation parameters of these reactions. </w:t>
      </w:r>
      <w:r w:rsidR="00C528F2" w:rsidRPr="00BE58AA">
        <w:rPr>
          <w:rFonts w:ascii="Arial" w:hAnsi="Arial" w:cs="Arial"/>
          <w:noProof/>
          <w:sz w:val="20"/>
          <w:szCs w:val="20"/>
          <w:lang w:val="en-US"/>
        </w:rPr>
        <w:t>The fol</w:t>
      </w:r>
      <w:r w:rsidR="0019267F" w:rsidRPr="00BE58AA">
        <w:rPr>
          <w:rFonts w:ascii="Arial" w:hAnsi="Arial" w:cs="Arial"/>
          <w:noProof/>
          <w:sz w:val="20"/>
          <w:szCs w:val="20"/>
          <w:lang w:val="en-US"/>
        </w:rPr>
        <w:t>lowing</w:t>
      </w:r>
      <w:r w:rsidR="00C528F2" w:rsidRPr="00BE58AA">
        <w:rPr>
          <w:rFonts w:ascii="Arial" w:hAnsi="Arial" w:cs="Arial"/>
          <w:noProof/>
          <w:sz w:val="20"/>
          <w:szCs w:val="20"/>
          <w:lang w:val="en-US"/>
        </w:rPr>
        <w:t xml:space="preserve"> rate constants for the reactions </w:t>
      </w:r>
      <w:r w:rsidR="0019267F" w:rsidRPr="00BE58AA">
        <w:rPr>
          <w:rFonts w:ascii="Arial" w:hAnsi="Arial" w:cs="Arial"/>
          <w:noProof/>
          <w:sz w:val="20"/>
          <w:szCs w:val="20"/>
          <w:lang w:val="en-US"/>
        </w:rPr>
        <w:t xml:space="preserve">of the oxidation products </w:t>
      </w:r>
      <w:r w:rsidR="00C528F2" w:rsidRPr="00BE58AA">
        <w:rPr>
          <w:rFonts w:ascii="Arial" w:hAnsi="Arial" w:cs="Arial"/>
          <w:noProof/>
          <w:sz w:val="20"/>
          <w:szCs w:val="20"/>
          <w:lang w:val="en-US"/>
        </w:rPr>
        <w:t xml:space="preserve">with sulfate radicals </w:t>
      </w:r>
      <w:r w:rsidR="00EC1C7A" w:rsidRPr="00BE58AA">
        <w:rPr>
          <w:rFonts w:ascii="Arial" w:hAnsi="Arial" w:cs="Arial"/>
          <w:noProof/>
          <w:sz w:val="20"/>
          <w:szCs w:val="20"/>
          <w:lang w:val="en-US"/>
        </w:rPr>
        <w:t xml:space="preserve">have been </w:t>
      </w:r>
      <w:r w:rsidR="00C528F2" w:rsidRPr="00BE58AA">
        <w:rPr>
          <w:rFonts w:ascii="Arial" w:hAnsi="Arial" w:cs="Arial"/>
          <w:noProof/>
          <w:sz w:val="20"/>
          <w:szCs w:val="20"/>
          <w:lang w:val="en-US"/>
        </w:rPr>
        <w:t>obtained</w:t>
      </w:r>
      <w:r w:rsidR="00EC1C7A" w:rsidRPr="00BE58AA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19267F" w:rsidRPr="00BE58AA">
        <w:rPr>
          <w:rFonts w:ascii="Arial" w:hAnsi="Arial" w:cs="Arial"/>
          <w:noProof/>
          <w:sz w:val="20"/>
          <w:szCs w:val="20"/>
          <w:lang w:val="en-US"/>
        </w:rPr>
        <w:t xml:space="preserve">at </w:t>
      </w:r>
      <w:r w:rsidR="00EC1C7A" w:rsidRPr="00BE58AA">
        <w:rPr>
          <w:rFonts w:ascii="Arial" w:hAnsi="Arial" w:cs="Arial"/>
          <w:noProof/>
          <w:sz w:val="20"/>
          <w:szCs w:val="20"/>
          <w:lang w:val="en-US"/>
        </w:rPr>
        <w:t>298</w:t>
      </w:r>
      <w:r w:rsidR="0019267F" w:rsidRPr="00BE58AA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EC1C7A" w:rsidRPr="00BE58AA">
        <w:rPr>
          <w:rFonts w:ascii="Arial" w:hAnsi="Arial" w:cs="Arial"/>
          <w:noProof/>
          <w:sz w:val="20"/>
          <w:szCs w:val="20"/>
          <w:lang w:val="en-US"/>
        </w:rPr>
        <w:t xml:space="preserve">K </w:t>
      </w:r>
      <w:r w:rsidR="00C528F2" w:rsidRPr="00BE58AA">
        <w:rPr>
          <w:rFonts w:ascii="Arial" w:hAnsi="Arial" w:cs="Arial"/>
          <w:noProof/>
          <w:sz w:val="20"/>
          <w:szCs w:val="20"/>
          <w:lang w:val="en-US"/>
        </w:rPr>
        <w:t>:</w:t>
      </w:r>
      <w:r w:rsidR="0019267F" w:rsidRPr="00BE58AA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noProof/>
                <w:sz w:val="20"/>
                <w:szCs w:val="20"/>
                <w:lang w:val="en-US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  <w:noProof/>
                <w:sz w:val="20"/>
                <w:szCs w:val="20"/>
                <w:lang w:val="en-US"/>
              </w:rPr>
              <m:t>k</m:t>
            </m:r>
          </m:e>
          <m:sub>
            <m:r>
              <m:rPr>
                <m:nor/>
              </m:rPr>
              <w:rPr>
                <w:rFonts w:ascii="Arial" w:hAnsi="Arial" w:cs="Arial"/>
                <w:noProof/>
                <w:sz w:val="20"/>
                <w:szCs w:val="20"/>
                <w:lang w:val="en-US"/>
              </w:rPr>
              <m:t>(S</m:t>
            </m:r>
            <m:sSubSup>
              <m:sSubSupPr>
                <m:ctrlPr>
                  <w:rPr>
                    <w:rFonts w:ascii="Cambria Math" w:hAnsi="Cambria Math" w:cs="Arial"/>
                    <w:i/>
                    <w:noProof/>
                    <w:sz w:val="20"/>
                    <w:szCs w:val="20"/>
                    <w:lang w:val="en-US"/>
                  </w:rPr>
                </m:ctrlPr>
              </m:sSubSupPr>
              <m:e>
                <m:r>
                  <m:rPr>
                    <m:nor/>
                  </m:rPr>
                  <w:rPr>
                    <w:rFonts w:ascii="Arial" w:hAnsi="Arial" w:cs="Arial"/>
                    <w:noProof/>
                    <w:sz w:val="20"/>
                    <w:szCs w:val="20"/>
                    <w:lang w:val="en-US"/>
                  </w:rPr>
                  <m:t>O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noProof/>
                    <w:sz w:val="20"/>
                    <w:szCs w:val="20"/>
                    <w:lang w:val="en-US"/>
                  </w:rPr>
                  <m:t>4</m:t>
                </m:r>
              </m:sub>
              <m:sup>
                <m:r>
                  <m:rPr>
                    <m:nor/>
                  </m:rPr>
                  <w:rPr>
                    <w:rFonts w:ascii="Arial" w:hAnsi="Arial" w:cs="Arial"/>
                    <w:noProof/>
                    <w:sz w:val="20"/>
                    <w:szCs w:val="20"/>
                    <w:lang w:val="en-US"/>
                  </w:rPr>
                  <m:t>-</m:t>
                </m:r>
              </m:sup>
            </m:sSubSup>
            <m:r>
              <m:rPr>
                <m:nor/>
              </m:rPr>
              <w:rPr>
                <w:rFonts w:ascii="Arial" w:hAnsi="Arial" w:cs="Arial"/>
                <w:noProof/>
                <w:sz w:val="20"/>
                <w:szCs w:val="20"/>
                <w:lang w:val="en-US"/>
              </w:rPr>
              <m:t>+ 2-methyl-2-oxiranecarboxaldehyde)</m:t>
            </m:r>
          </m:sub>
        </m:sSub>
        <m:r>
          <m:rPr>
            <m:nor/>
          </m:rPr>
          <w:rPr>
            <w:rFonts w:ascii="Arial" w:hAnsi="Arial" w:cs="Arial"/>
            <w:noProof/>
            <w:sz w:val="20"/>
            <w:szCs w:val="20"/>
            <w:lang w:val="en-US"/>
          </w:rPr>
          <m:t xml:space="preserve"> = (2.31 ± 0.10) × </m:t>
        </m:r>
        <m:sSup>
          <m:sSupPr>
            <m:ctrlPr>
              <w:rPr>
                <w:rFonts w:ascii="Cambria Math" w:hAnsi="Cambria Math" w:cs="Arial"/>
                <w:i/>
                <w:noProof/>
                <w:sz w:val="20"/>
                <w:szCs w:val="20"/>
                <w:lang w:val="en-US"/>
              </w:rPr>
            </m:ctrlPr>
          </m:sSupPr>
          <m:e>
            <m:r>
              <m:rPr>
                <m:nor/>
              </m:rPr>
              <w:rPr>
                <w:rFonts w:ascii="Arial" w:hAnsi="Arial" w:cs="Arial"/>
                <w:noProof/>
                <w:sz w:val="20"/>
                <w:szCs w:val="20"/>
                <w:lang w:val="en-US"/>
              </w:rPr>
              <m:t>10</m:t>
            </m:r>
          </m:e>
          <m:sup>
            <m:r>
              <m:rPr>
                <m:nor/>
              </m:rPr>
              <w:rPr>
                <w:rFonts w:ascii="Arial" w:hAnsi="Arial" w:cs="Arial"/>
                <w:noProof/>
                <w:sz w:val="20"/>
                <w:szCs w:val="20"/>
                <w:lang w:val="en-US"/>
              </w:rPr>
              <m:t>7</m:t>
            </m:r>
          </m:sup>
        </m:sSup>
        <m:r>
          <m:rPr>
            <m:nor/>
          </m:rPr>
          <w:rPr>
            <w:rFonts w:ascii="Arial" w:hAnsi="Arial" w:cs="Arial"/>
            <w:noProof/>
            <w:sz w:val="20"/>
            <w:szCs w:val="20"/>
            <w:lang w:val="en-US"/>
          </w:rPr>
          <m:t xml:space="preserve"> L </m:t>
        </m:r>
        <m:sSup>
          <m:sSupPr>
            <m:ctrlPr>
              <w:rPr>
                <w:rFonts w:ascii="Cambria Math" w:hAnsi="Cambria Math" w:cs="Arial"/>
                <w:i/>
                <w:noProof/>
                <w:sz w:val="20"/>
                <w:szCs w:val="20"/>
                <w:lang w:val="en-US"/>
              </w:rPr>
            </m:ctrlPr>
          </m:sSupPr>
          <m:e>
            <m:r>
              <m:rPr>
                <m:nor/>
              </m:rPr>
              <w:rPr>
                <w:rFonts w:ascii="Arial" w:hAnsi="Arial" w:cs="Arial"/>
                <w:noProof/>
                <w:sz w:val="20"/>
                <w:szCs w:val="20"/>
                <w:lang w:val="en-US"/>
              </w:rPr>
              <m:t>mol</m:t>
            </m:r>
          </m:e>
          <m:sup>
            <m:r>
              <m:rPr>
                <m:nor/>
              </m:rPr>
              <w:rPr>
                <w:rFonts w:ascii="Arial" w:hAnsi="Arial" w:cs="Arial"/>
                <w:noProof/>
                <w:sz w:val="20"/>
                <w:szCs w:val="20"/>
                <w:lang w:val="en-US"/>
              </w:rPr>
              <m:t>-1</m:t>
            </m:r>
          </m:sup>
        </m:sSup>
        <m:sSup>
          <m:sSupPr>
            <m:ctrlPr>
              <w:rPr>
                <w:rFonts w:ascii="Cambria Math" w:hAnsi="Cambria Math" w:cs="Arial"/>
                <w:i/>
                <w:noProof/>
                <w:sz w:val="20"/>
                <w:szCs w:val="20"/>
                <w:lang w:val="en-US"/>
              </w:rPr>
            </m:ctrlPr>
          </m:sSupPr>
          <m:e>
            <m:r>
              <m:rPr>
                <m:nor/>
              </m:rPr>
              <w:rPr>
                <w:rFonts w:ascii="Arial" w:hAnsi="Arial" w:cs="Arial"/>
                <w:noProof/>
                <w:sz w:val="20"/>
                <w:szCs w:val="20"/>
                <w:lang w:val="en-US"/>
              </w:rPr>
              <m:t>s</m:t>
            </m:r>
          </m:e>
          <m:sup>
            <m:r>
              <m:rPr>
                <m:nor/>
              </m:rPr>
              <w:rPr>
                <w:rFonts w:ascii="Arial" w:hAnsi="Arial" w:cs="Arial"/>
                <w:noProof/>
                <w:sz w:val="20"/>
                <w:szCs w:val="20"/>
                <w:lang w:val="en-US"/>
              </w:rPr>
              <m:t>-1</m:t>
            </m:r>
          </m:sup>
        </m:sSup>
      </m:oMath>
      <w:r w:rsidR="00EC1C7A" w:rsidRPr="00BE58AA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m:oMath>
        <m:sSub>
          <m:sSubPr>
            <m:ctrlPr>
              <w:rPr>
                <w:rFonts w:ascii="Cambria Math" w:hAnsi="Cambria Math" w:cs="Arial"/>
                <w:i/>
                <w:noProof/>
                <w:sz w:val="20"/>
                <w:szCs w:val="20"/>
                <w:lang w:val="en-US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  <w:noProof/>
                <w:sz w:val="20"/>
                <w:szCs w:val="20"/>
                <w:lang w:val="en-US"/>
              </w:rPr>
              <m:t>k</m:t>
            </m:r>
          </m:e>
          <m:sub>
            <m:r>
              <m:rPr>
                <m:nor/>
              </m:rPr>
              <w:rPr>
                <w:rFonts w:ascii="Arial" w:hAnsi="Arial" w:cs="Arial"/>
                <w:noProof/>
                <w:sz w:val="20"/>
                <w:szCs w:val="20"/>
                <w:lang w:val="en-US"/>
              </w:rPr>
              <m:t>(S</m:t>
            </m:r>
            <m:sSubSup>
              <m:sSubSupPr>
                <m:ctrlPr>
                  <w:rPr>
                    <w:rFonts w:ascii="Cambria Math" w:hAnsi="Cambria Math" w:cs="Arial"/>
                    <w:i/>
                    <w:noProof/>
                    <w:sz w:val="20"/>
                    <w:szCs w:val="20"/>
                    <w:lang w:val="en-US"/>
                  </w:rPr>
                </m:ctrlPr>
              </m:sSubSupPr>
              <m:e>
                <m:r>
                  <m:rPr>
                    <m:nor/>
                  </m:rPr>
                  <w:rPr>
                    <w:rFonts w:ascii="Arial" w:hAnsi="Arial" w:cs="Arial"/>
                    <w:noProof/>
                    <w:sz w:val="20"/>
                    <w:szCs w:val="20"/>
                    <w:lang w:val="en-US"/>
                  </w:rPr>
                  <m:t>O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noProof/>
                    <w:sz w:val="20"/>
                    <w:szCs w:val="20"/>
                    <w:lang w:val="en-US"/>
                  </w:rPr>
                  <m:t>4</m:t>
                </m:r>
              </m:sub>
              <m:sup>
                <m:r>
                  <m:rPr>
                    <m:nor/>
                  </m:rPr>
                  <w:rPr>
                    <w:rFonts w:ascii="Arial" w:hAnsi="Arial" w:cs="Arial"/>
                    <w:noProof/>
                    <w:sz w:val="20"/>
                    <w:szCs w:val="20"/>
                    <w:lang w:val="en-US"/>
                  </w:rPr>
                  <m:t>-</m:t>
                </m:r>
              </m:sup>
            </m:sSubSup>
            <m:r>
              <m:rPr>
                <m:nor/>
              </m:rPr>
              <w:rPr>
                <w:rFonts w:ascii="Arial" w:hAnsi="Arial" w:cs="Arial"/>
                <w:noProof/>
                <w:sz w:val="20"/>
                <w:szCs w:val="20"/>
                <w:lang w:val="en-US"/>
              </w:rPr>
              <m:t>+ 2,3-dihydroxy-2-methylpropanal)</m:t>
            </m:r>
          </m:sub>
        </m:sSub>
        <m:r>
          <m:rPr>
            <m:nor/>
          </m:rPr>
          <w:rPr>
            <w:rFonts w:ascii="Arial" w:hAnsi="Arial" w:cs="Arial"/>
            <w:noProof/>
            <w:sz w:val="20"/>
            <w:szCs w:val="20"/>
            <w:lang w:val="en-US"/>
          </w:rPr>
          <m:t xml:space="preserve"> = (3.25 ± 0.15) × </m:t>
        </m:r>
        <m:sSup>
          <m:sSupPr>
            <m:ctrlPr>
              <w:rPr>
                <w:rFonts w:ascii="Cambria Math" w:hAnsi="Cambria Math" w:cs="Arial"/>
                <w:i/>
                <w:noProof/>
                <w:sz w:val="20"/>
                <w:szCs w:val="20"/>
                <w:lang w:val="en-US"/>
              </w:rPr>
            </m:ctrlPr>
          </m:sSupPr>
          <m:e>
            <m:r>
              <m:rPr>
                <m:nor/>
              </m:rPr>
              <w:rPr>
                <w:rFonts w:ascii="Arial" w:hAnsi="Arial" w:cs="Arial"/>
                <w:noProof/>
                <w:sz w:val="20"/>
                <w:szCs w:val="20"/>
                <w:lang w:val="en-US"/>
              </w:rPr>
              <m:t>10</m:t>
            </m:r>
          </m:e>
          <m:sup>
            <m:r>
              <m:rPr>
                <m:nor/>
              </m:rPr>
              <w:rPr>
                <w:rFonts w:ascii="Arial" w:hAnsi="Arial" w:cs="Arial"/>
                <w:noProof/>
                <w:sz w:val="20"/>
                <w:szCs w:val="20"/>
                <w:lang w:val="en-US"/>
              </w:rPr>
              <m:t>7</m:t>
            </m:r>
          </m:sup>
        </m:sSup>
        <m:r>
          <m:rPr>
            <m:nor/>
          </m:rPr>
          <w:rPr>
            <w:rFonts w:ascii="Arial" w:hAnsi="Arial" w:cs="Arial"/>
            <w:noProof/>
            <w:sz w:val="20"/>
            <w:szCs w:val="20"/>
            <w:lang w:val="en-US"/>
          </w:rPr>
          <m:t xml:space="preserve"> L </m:t>
        </m:r>
        <m:sSup>
          <m:sSupPr>
            <m:ctrlPr>
              <w:rPr>
                <w:rFonts w:ascii="Cambria Math" w:hAnsi="Cambria Math" w:cs="Arial"/>
                <w:i/>
                <w:noProof/>
                <w:sz w:val="20"/>
                <w:szCs w:val="20"/>
                <w:lang w:val="en-US"/>
              </w:rPr>
            </m:ctrlPr>
          </m:sSupPr>
          <m:e>
            <m:r>
              <m:rPr>
                <m:nor/>
              </m:rPr>
              <w:rPr>
                <w:rFonts w:ascii="Arial" w:hAnsi="Arial" w:cs="Arial"/>
                <w:noProof/>
                <w:sz w:val="20"/>
                <w:szCs w:val="20"/>
                <w:lang w:val="en-US"/>
              </w:rPr>
              <m:t>mol</m:t>
            </m:r>
          </m:e>
          <m:sup>
            <m:r>
              <m:rPr>
                <m:nor/>
              </m:rPr>
              <w:rPr>
                <w:rFonts w:ascii="Arial" w:hAnsi="Arial" w:cs="Arial"/>
                <w:noProof/>
                <w:sz w:val="20"/>
                <w:szCs w:val="20"/>
                <w:lang w:val="en-US"/>
              </w:rPr>
              <m:t>-1</m:t>
            </m:r>
          </m:sup>
        </m:sSup>
        <m:sSup>
          <m:sSupPr>
            <m:ctrlPr>
              <w:rPr>
                <w:rFonts w:ascii="Cambria Math" w:hAnsi="Cambria Math" w:cs="Arial"/>
                <w:i/>
                <w:noProof/>
                <w:sz w:val="20"/>
                <w:szCs w:val="20"/>
                <w:lang w:val="en-US"/>
              </w:rPr>
            </m:ctrlPr>
          </m:sSupPr>
          <m:e>
            <m:r>
              <m:rPr>
                <m:nor/>
              </m:rPr>
              <w:rPr>
                <w:rFonts w:ascii="Arial" w:hAnsi="Arial" w:cs="Arial"/>
                <w:noProof/>
                <w:sz w:val="20"/>
                <w:szCs w:val="20"/>
                <w:lang w:val="en-US"/>
              </w:rPr>
              <m:t>s</m:t>
            </m:r>
          </m:e>
          <m:sup>
            <m:r>
              <m:rPr>
                <m:nor/>
              </m:rPr>
              <w:rPr>
                <w:rFonts w:ascii="Arial" w:hAnsi="Arial" w:cs="Arial"/>
                <w:noProof/>
                <w:sz w:val="20"/>
                <w:szCs w:val="20"/>
                <w:lang w:val="en-US"/>
              </w:rPr>
              <m:t>-1</m:t>
            </m:r>
          </m:sup>
        </m:sSup>
      </m:oMath>
      <w:r w:rsidR="00EC1C7A" w:rsidRPr="00BE58AA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m:oMath>
        <m:sSub>
          <m:sSubPr>
            <m:ctrlPr>
              <w:rPr>
                <w:rFonts w:ascii="Cambria Math" w:hAnsi="Cambria Math" w:cs="Arial"/>
                <w:i/>
                <w:noProof/>
                <w:sz w:val="20"/>
                <w:szCs w:val="20"/>
                <w:lang w:val="en-US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  <w:noProof/>
                <w:sz w:val="20"/>
                <w:szCs w:val="20"/>
                <w:lang w:val="en-US"/>
              </w:rPr>
              <m:t>k</m:t>
            </m:r>
          </m:e>
          <m:sub>
            <m:r>
              <m:rPr>
                <m:nor/>
              </m:rPr>
              <w:rPr>
                <w:rFonts w:ascii="Arial" w:hAnsi="Arial" w:cs="Arial"/>
                <w:noProof/>
                <w:sz w:val="20"/>
                <w:szCs w:val="20"/>
                <w:lang w:val="en-US"/>
              </w:rPr>
              <m:t>(S</m:t>
            </m:r>
            <m:sSubSup>
              <m:sSubSupPr>
                <m:ctrlPr>
                  <w:rPr>
                    <w:rFonts w:ascii="Cambria Math" w:hAnsi="Cambria Math" w:cs="Arial"/>
                    <w:i/>
                    <w:noProof/>
                    <w:sz w:val="20"/>
                    <w:szCs w:val="20"/>
                    <w:lang w:val="en-US"/>
                  </w:rPr>
                </m:ctrlPr>
              </m:sSubSupPr>
              <m:e>
                <m:r>
                  <m:rPr>
                    <m:nor/>
                  </m:rPr>
                  <w:rPr>
                    <w:rFonts w:ascii="Arial" w:hAnsi="Arial" w:cs="Arial"/>
                    <w:noProof/>
                    <w:sz w:val="20"/>
                    <w:szCs w:val="20"/>
                    <w:lang w:val="en-US"/>
                  </w:rPr>
                  <m:t>O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noProof/>
                    <w:sz w:val="20"/>
                    <w:szCs w:val="20"/>
                    <w:lang w:val="en-US"/>
                  </w:rPr>
                  <m:t>4</m:t>
                </m:r>
              </m:sub>
              <m:sup>
                <m:r>
                  <m:rPr>
                    <m:nor/>
                  </m:rPr>
                  <w:rPr>
                    <w:rFonts w:ascii="Arial" w:hAnsi="Arial" w:cs="Arial"/>
                    <w:noProof/>
                    <w:sz w:val="20"/>
                    <w:szCs w:val="20"/>
                    <w:lang w:val="en-US"/>
                  </w:rPr>
                  <m:t>-</m:t>
                </m:r>
              </m:sup>
            </m:sSubSup>
            <m:r>
              <m:rPr>
                <m:nor/>
              </m:rPr>
              <w:rPr>
                <w:rFonts w:ascii="Arial" w:hAnsi="Arial" w:cs="Arial"/>
                <w:noProof/>
                <w:sz w:val="20"/>
                <w:szCs w:val="20"/>
                <w:lang w:val="en-US"/>
              </w:rPr>
              <m:t>+ 1-(2-oxiranyl)-ethanone)</m:t>
            </m:r>
          </m:sub>
        </m:sSub>
        <m:r>
          <m:rPr>
            <m:nor/>
          </m:rPr>
          <w:rPr>
            <w:rFonts w:ascii="Arial" w:hAnsi="Arial" w:cs="Arial"/>
            <w:noProof/>
            <w:sz w:val="20"/>
            <w:szCs w:val="20"/>
            <w:lang w:val="en-US"/>
          </w:rPr>
          <m:t xml:space="preserve">= (6.90 ± 1.99) × </m:t>
        </m:r>
        <m:sSup>
          <m:sSupPr>
            <m:ctrlPr>
              <w:rPr>
                <w:rFonts w:ascii="Cambria Math" w:hAnsi="Cambria Math" w:cs="Arial"/>
                <w:i/>
                <w:noProof/>
                <w:sz w:val="20"/>
                <w:szCs w:val="20"/>
                <w:lang w:val="en-US"/>
              </w:rPr>
            </m:ctrlPr>
          </m:sSupPr>
          <m:e>
            <m:r>
              <m:rPr>
                <m:nor/>
              </m:rPr>
              <w:rPr>
                <w:rFonts w:ascii="Arial" w:hAnsi="Arial" w:cs="Arial"/>
                <w:noProof/>
                <w:sz w:val="20"/>
                <w:szCs w:val="20"/>
                <w:lang w:val="en-US"/>
              </w:rPr>
              <m:t>10</m:t>
            </m:r>
          </m:e>
          <m:sup>
            <m:r>
              <m:rPr>
                <m:nor/>
              </m:rPr>
              <w:rPr>
                <w:rFonts w:ascii="Arial" w:hAnsi="Arial" w:cs="Arial"/>
                <w:noProof/>
                <w:sz w:val="20"/>
                <w:szCs w:val="20"/>
                <w:lang w:val="en-US"/>
              </w:rPr>
              <m:t>6</m:t>
            </m:r>
          </m:sup>
        </m:sSup>
        <m:r>
          <m:rPr>
            <m:nor/>
          </m:rPr>
          <w:rPr>
            <w:rFonts w:ascii="Arial" w:hAnsi="Arial" w:cs="Arial"/>
            <w:noProof/>
            <w:sz w:val="20"/>
            <w:szCs w:val="20"/>
            <w:lang w:val="en-US"/>
          </w:rPr>
          <m:t xml:space="preserve"> L </m:t>
        </m:r>
        <m:sSup>
          <m:sSupPr>
            <m:ctrlPr>
              <w:rPr>
                <w:rFonts w:ascii="Cambria Math" w:hAnsi="Cambria Math" w:cs="Arial"/>
                <w:i/>
                <w:noProof/>
                <w:sz w:val="20"/>
                <w:szCs w:val="20"/>
                <w:lang w:val="en-US"/>
              </w:rPr>
            </m:ctrlPr>
          </m:sSupPr>
          <m:e>
            <m:r>
              <m:rPr>
                <m:nor/>
              </m:rPr>
              <w:rPr>
                <w:rFonts w:ascii="Arial" w:hAnsi="Arial" w:cs="Arial"/>
                <w:noProof/>
                <w:sz w:val="20"/>
                <w:szCs w:val="20"/>
                <w:lang w:val="en-US"/>
              </w:rPr>
              <m:t>mol</m:t>
            </m:r>
          </m:e>
          <m:sup>
            <m:r>
              <m:rPr>
                <m:nor/>
              </m:rPr>
              <w:rPr>
                <w:rFonts w:ascii="Arial" w:hAnsi="Arial" w:cs="Arial"/>
                <w:noProof/>
                <w:sz w:val="20"/>
                <w:szCs w:val="20"/>
                <w:lang w:val="en-US"/>
              </w:rPr>
              <m:t>-1</m:t>
            </m:r>
          </m:sup>
        </m:sSup>
        <m:sSup>
          <m:sSupPr>
            <m:ctrlPr>
              <w:rPr>
                <w:rFonts w:ascii="Cambria Math" w:hAnsi="Cambria Math" w:cs="Arial"/>
                <w:i/>
                <w:noProof/>
                <w:sz w:val="20"/>
                <w:szCs w:val="20"/>
                <w:lang w:val="en-US"/>
              </w:rPr>
            </m:ctrlPr>
          </m:sSupPr>
          <m:e>
            <m:r>
              <m:rPr>
                <m:nor/>
              </m:rPr>
              <w:rPr>
                <w:rFonts w:ascii="Arial" w:hAnsi="Arial" w:cs="Arial"/>
                <w:noProof/>
                <w:sz w:val="20"/>
                <w:szCs w:val="20"/>
                <w:lang w:val="en-US"/>
              </w:rPr>
              <m:t>s</m:t>
            </m:r>
          </m:e>
          <m:sup>
            <m:r>
              <m:rPr>
                <m:nor/>
              </m:rPr>
              <w:rPr>
                <w:rFonts w:ascii="Arial" w:hAnsi="Arial" w:cs="Arial"/>
                <w:noProof/>
                <w:sz w:val="20"/>
                <w:szCs w:val="20"/>
                <w:lang w:val="en-US"/>
              </w:rPr>
              <m:t>-1</m:t>
            </m:r>
          </m:sup>
        </m:sSup>
      </m:oMath>
      <w:r w:rsidR="0019267F" w:rsidRPr="00BE58AA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473146" w:rsidRPr="00BE58AA" w:rsidRDefault="00473146" w:rsidP="00A62751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BE58AA">
        <w:rPr>
          <w:rFonts w:ascii="Arial" w:hAnsi="Arial" w:cs="Arial"/>
          <w:noProof/>
          <w:sz w:val="20"/>
          <w:szCs w:val="20"/>
          <w:lang w:val="en-US"/>
        </w:rPr>
        <w:t xml:space="preserve">Besides these investigations of the reaction kinetics, </w:t>
      </w:r>
      <w:r w:rsidR="00794C3D" w:rsidRPr="00BE58AA">
        <w:rPr>
          <w:rFonts w:ascii="Arial" w:hAnsi="Arial" w:cs="Arial"/>
          <w:noProof/>
          <w:sz w:val="20"/>
          <w:szCs w:val="20"/>
          <w:lang w:val="en-US"/>
        </w:rPr>
        <w:t>the product distribution of the oxidation reaction of methyl vinyl ketone and methacrolein in the aqueous phase is investigated to i</w:t>
      </w:r>
      <w:bookmarkStart w:id="0" w:name="_GoBack"/>
      <w:bookmarkEnd w:id="0"/>
      <w:r w:rsidR="00794C3D" w:rsidRPr="00BE58AA">
        <w:rPr>
          <w:rFonts w:ascii="Arial" w:hAnsi="Arial" w:cs="Arial"/>
          <w:noProof/>
          <w:sz w:val="20"/>
          <w:szCs w:val="20"/>
          <w:lang w:val="en-US"/>
        </w:rPr>
        <w:t xml:space="preserve">dentify further products completing former product studies by Schöne </w:t>
      </w:r>
      <w:r w:rsidR="00794C3D" w:rsidRPr="00BE58AA">
        <w:rPr>
          <w:rFonts w:ascii="Arial" w:hAnsi="Arial" w:cs="Arial"/>
          <w:i/>
          <w:noProof/>
          <w:sz w:val="20"/>
          <w:szCs w:val="20"/>
          <w:lang w:val="en-US"/>
        </w:rPr>
        <w:t>et al.</w:t>
      </w:r>
      <w:r w:rsidR="00794C3D" w:rsidRPr="00BE58AA">
        <w:rPr>
          <w:rFonts w:ascii="Arial" w:hAnsi="Arial" w:cs="Arial"/>
          <w:noProof/>
          <w:sz w:val="20"/>
          <w:szCs w:val="20"/>
          <w:lang w:val="en-US"/>
        </w:rPr>
        <w:t xml:space="preserve"> (2014). </w:t>
      </w:r>
    </w:p>
    <w:p w:rsidR="00C54F4B" w:rsidRPr="00BE58AA" w:rsidRDefault="00A62751" w:rsidP="00A62751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BE58AA">
        <w:rPr>
          <w:rFonts w:ascii="Arial" w:hAnsi="Arial" w:cs="Arial"/>
          <w:noProof/>
          <w:sz w:val="20"/>
          <w:szCs w:val="20"/>
          <w:lang w:val="en-US"/>
        </w:rPr>
        <w:t xml:space="preserve">The </w:t>
      </w:r>
      <w:r w:rsidR="004F56EC" w:rsidRPr="00BE58AA">
        <w:rPr>
          <w:rFonts w:ascii="Arial" w:hAnsi="Arial" w:cs="Arial"/>
          <w:noProof/>
          <w:sz w:val="20"/>
          <w:szCs w:val="20"/>
          <w:lang w:val="en-US"/>
        </w:rPr>
        <w:t>obtained</w:t>
      </w:r>
      <w:r w:rsidRPr="00BE58AA">
        <w:rPr>
          <w:rFonts w:ascii="Arial" w:hAnsi="Arial" w:cs="Arial"/>
          <w:noProof/>
          <w:sz w:val="20"/>
          <w:szCs w:val="20"/>
          <w:lang w:val="en-US"/>
        </w:rPr>
        <w:t xml:space="preserve"> data of oxidation processes of met</w:t>
      </w:r>
      <w:r w:rsidR="004F56EC" w:rsidRPr="00BE58AA">
        <w:rPr>
          <w:rFonts w:ascii="Arial" w:hAnsi="Arial" w:cs="Arial"/>
          <w:noProof/>
          <w:sz w:val="20"/>
          <w:szCs w:val="20"/>
          <w:lang w:val="en-US"/>
        </w:rPr>
        <w:t>hacrolein,</w:t>
      </w:r>
      <w:r w:rsidRPr="00BE58AA">
        <w:rPr>
          <w:rFonts w:ascii="Arial" w:hAnsi="Arial" w:cs="Arial"/>
          <w:noProof/>
          <w:sz w:val="20"/>
          <w:szCs w:val="20"/>
          <w:lang w:val="en-US"/>
        </w:rPr>
        <w:t xml:space="preserve"> methyl vinyl ketone</w:t>
      </w:r>
      <w:r w:rsidR="004F56EC" w:rsidRPr="00BE58AA">
        <w:rPr>
          <w:rFonts w:ascii="Arial" w:hAnsi="Arial" w:cs="Arial"/>
          <w:noProof/>
          <w:sz w:val="20"/>
          <w:szCs w:val="20"/>
          <w:lang w:val="en-US"/>
        </w:rPr>
        <w:t xml:space="preserve"> and their</w:t>
      </w:r>
      <w:r w:rsidR="00D20F44" w:rsidRPr="00BE58AA">
        <w:rPr>
          <w:rFonts w:ascii="Arial" w:hAnsi="Arial" w:cs="Arial"/>
          <w:noProof/>
          <w:sz w:val="20"/>
          <w:szCs w:val="20"/>
          <w:lang w:val="en-US"/>
        </w:rPr>
        <w:t xml:space="preserve"> suggested</w:t>
      </w:r>
      <w:r w:rsidR="004F56EC" w:rsidRPr="00BE58AA">
        <w:rPr>
          <w:rFonts w:ascii="Arial" w:hAnsi="Arial" w:cs="Arial"/>
          <w:noProof/>
          <w:sz w:val="20"/>
          <w:szCs w:val="20"/>
          <w:lang w:val="en-US"/>
        </w:rPr>
        <w:t xml:space="preserve"> degradation products</w:t>
      </w:r>
      <w:r w:rsidRPr="00BE58AA">
        <w:rPr>
          <w:rFonts w:ascii="Arial" w:hAnsi="Arial" w:cs="Arial"/>
          <w:noProof/>
          <w:sz w:val="20"/>
          <w:szCs w:val="20"/>
          <w:lang w:val="en-US"/>
        </w:rPr>
        <w:t xml:space="preserve">, such as </w:t>
      </w:r>
      <w:r w:rsidR="00C528F2" w:rsidRPr="00BE58AA">
        <w:rPr>
          <w:rFonts w:ascii="Arial" w:hAnsi="Arial" w:cs="Arial"/>
          <w:noProof/>
          <w:sz w:val="20"/>
          <w:szCs w:val="20"/>
          <w:lang w:val="en-US"/>
        </w:rPr>
        <w:t>2-methyl-2-oxiranecarboxaldehyde</w:t>
      </w:r>
      <w:r w:rsidRPr="00BE58AA">
        <w:rPr>
          <w:rFonts w:ascii="Arial" w:hAnsi="Arial" w:cs="Arial"/>
          <w:noProof/>
          <w:sz w:val="20"/>
          <w:szCs w:val="20"/>
          <w:lang w:val="en-US"/>
        </w:rPr>
        <w:t>, 1-Oxiran-2-ylethanone and 2,3-Dihydroxy-2-methylpropanal, improve the</w:t>
      </w:r>
      <w:r w:rsidR="004F56EC" w:rsidRPr="00BE58AA">
        <w:rPr>
          <w:rFonts w:ascii="Arial" w:hAnsi="Arial" w:cs="Arial"/>
          <w:noProof/>
          <w:sz w:val="20"/>
          <w:szCs w:val="20"/>
          <w:lang w:val="en-US"/>
        </w:rPr>
        <w:t xml:space="preserve"> understanding of the tropospheric</w:t>
      </w:r>
      <w:r w:rsidRPr="00BE58AA">
        <w:rPr>
          <w:rFonts w:ascii="Arial" w:hAnsi="Arial" w:cs="Arial"/>
          <w:noProof/>
          <w:sz w:val="20"/>
          <w:szCs w:val="20"/>
          <w:lang w:val="en-US"/>
        </w:rPr>
        <w:t xml:space="preserve"> oxidation mechanism of isoprene oxidation products in aqueous solution</w:t>
      </w:r>
      <w:r w:rsidR="0019267F" w:rsidRPr="00BE58AA">
        <w:rPr>
          <w:rFonts w:ascii="Arial" w:hAnsi="Arial" w:cs="Arial"/>
          <w:noProof/>
          <w:sz w:val="20"/>
          <w:szCs w:val="20"/>
          <w:lang w:val="en-US"/>
        </w:rPr>
        <w:t xml:space="preserve"> and the estimation of its contribute to the aqueous secondary organic aerosol formation</w:t>
      </w:r>
      <w:r w:rsidRPr="00BE58AA">
        <w:rPr>
          <w:rFonts w:ascii="Arial" w:hAnsi="Arial" w:cs="Arial"/>
          <w:noProof/>
          <w:sz w:val="20"/>
          <w:szCs w:val="20"/>
          <w:lang w:val="en-US"/>
        </w:rPr>
        <w:t xml:space="preserve">. The derived kinetic parameters will be implemented into </w:t>
      </w:r>
      <w:r w:rsidR="0019267F" w:rsidRPr="00BE58AA">
        <w:rPr>
          <w:rFonts w:ascii="Arial" w:hAnsi="Arial" w:cs="Arial"/>
          <w:noProof/>
          <w:sz w:val="20"/>
          <w:szCs w:val="20"/>
          <w:lang w:val="en-US"/>
        </w:rPr>
        <w:t>aqueous-phase</w:t>
      </w:r>
      <w:r w:rsidRPr="00BE58AA">
        <w:rPr>
          <w:rFonts w:ascii="Arial" w:hAnsi="Arial" w:cs="Arial"/>
          <w:noProof/>
          <w:sz w:val="20"/>
          <w:szCs w:val="20"/>
          <w:lang w:val="en-US"/>
        </w:rPr>
        <w:t xml:space="preserve"> atmospheric chemistry models such as </w:t>
      </w:r>
      <w:r w:rsidR="0019267F" w:rsidRPr="00BE58AA">
        <w:rPr>
          <w:rFonts w:ascii="Arial" w:hAnsi="Arial" w:cs="Arial"/>
          <w:noProof/>
          <w:sz w:val="20"/>
          <w:szCs w:val="20"/>
          <w:lang w:val="en-US"/>
        </w:rPr>
        <w:t xml:space="preserve">the </w:t>
      </w:r>
      <w:r w:rsidR="004F56EC" w:rsidRPr="00BE58AA">
        <w:rPr>
          <w:rFonts w:ascii="Arial" w:hAnsi="Arial" w:cs="Arial"/>
          <w:b/>
          <w:noProof/>
          <w:sz w:val="20"/>
          <w:szCs w:val="20"/>
          <w:lang w:val="en-US"/>
        </w:rPr>
        <w:t>C</w:t>
      </w:r>
      <w:r w:rsidR="004F56EC" w:rsidRPr="00BE58AA">
        <w:rPr>
          <w:rFonts w:ascii="Arial" w:hAnsi="Arial" w:cs="Arial"/>
          <w:noProof/>
          <w:sz w:val="20"/>
          <w:szCs w:val="20"/>
          <w:lang w:val="en-US"/>
        </w:rPr>
        <w:t xml:space="preserve">hemical </w:t>
      </w:r>
      <w:r w:rsidR="004F56EC" w:rsidRPr="00BE58AA">
        <w:rPr>
          <w:rFonts w:ascii="Arial" w:hAnsi="Arial" w:cs="Arial"/>
          <w:b/>
          <w:noProof/>
          <w:sz w:val="20"/>
          <w:szCs w:val="20"/>
          <w:lang w:val="en-US"/>
        </w:rPr>
        <w:t>A</w:t>
      </w:r>
      <w:r w:rsidR="004F56EC" w:rsidRPr="00BE58AA">
        <w:rPr>
          <w:rFonts w:ascii="Arial" w:hAnsi="Arial" w:cs="Arial"/>
          <w:noProof/>
          <w:sz w:val="20"/>
          <w:szCs w:val="20"/>
          <w:lang w:val="en-US"/>
        </w:rPr>
        <w:t xml:space="preserve">queous </w:t>
      </w:r>
      <w:r w:rsidR="004F56EC" w:rsidRPr="00BE58AA">
        <w:rPr>
          <w:rFonts w:ascii="Arial" w:hAnsi="Arial" w:cs="Arial"/>
          <w:b/>
          <w:noProof/>
          <w:sz w:val="20"/>
          <w:szCs w:val="20"/>
          <w:lang w:val="en-US"/>
        </w:rPr>
        <w:t>P</w:t>
      </w:r>
      <w:r w:rsidR="004F56EC" w:rsidRPr="00BE58AA">
        <w:rPr>
          <w:rFonts w:ascii="Arial" w:hAnsi="Arial" w:cs="Arial"/>
          <w:noProof/>
          <w:sz w:val="20"/>
          <w:szCs w:val="20"/>
          <w:lang w:val="en-US"/>
        </w:rPr>
        <w:t xml:space="preserve">hase </w:t>
      </w:r>
      <w:r w:rsidR="004F56EC" w:rsidRPr="00BE58AA">
        <w:rPr>
          <w:rFonts w:ascii="Arial" w:hAnsi="Arial" w:cs="Arial"/>
          <w:b/>
          <w:noProof/>
          <w:sz w:val="20"/>
          <w:szCs w:val="20"/>
          <w:lang w:val="en-US"/>
        </w:rPr>
        <w:t>R</w:t>
      </w:r>
      <w:r w:rsidR="004F56EC" w:rsidRPr="00BE58AA">
        <w:rPr>
          <w:rFonts w:ascii="Arial" w:hAnsi="Arial" w:cs="Arial"/>
          <w:noProof/>
          <w:sz w:val="20"/>
          <w:szCs w:val="20"/>
          <w:lang w:val="en-US"/>
        </w:rPr>
        <w:t xml:space="preserve">adical </w:t>
      </w:r>
      <w:r w:rsidR="004F56EC" w:rsidRPr="00BE58AA">
        <w:rPr>
          <w:rFonts w:ascii="Arial" w:hAnsi="Arial" w:cs="Arial"/>
          <w:b/>
          <w:noProof/>
          <w:sz w:val="20"/>
          <w:szCs w:val="20"/>
          <w:lang w:val="en-US"/>
        </w:rPr>
        <w:t>M</w:t>
      </w:r>
      <w:r w:rsidR="004F56EC" w:rsidRPr="00BE58AA">
        <w:rPr>
          <w:rFonts w:ascii="Arial" w:hAnsi="Arial" w:cs="Arial"/>
          <w:noProof/>
          <w:sz w:val="20"/>
          <w:szCs w:val="20"/>
          <w:lang w:val="en-US"/>
        </w:rPr>
        <w:t>echanism (</w:t>
      </w:r>
      <w:r w:rsidRPr="00BE58AA">
        <w:rPr>
          <w:rFonts w:ascii="Arial" w:hAnsi="Arial" w:cs="Arial"/>
          <w:noProof/>
          <w:sz w:val="20"/>
          <w:szCs w:val="20"/>
          <w:lang w:val="en-US"/>
        </w:rPr>
        <w:t>CAPRAM</w:t>
      </w:r>
      <w:r w:rsidR="004F56EC" w:rsidRPr="00BE58AA">
        <w:rPr>
          <w:rFonts w:ascii="Arial" w:hAnsi="Arial" w:cs="Arial"/>
          <w:noProof/>
          <w:sz w:val="20"/>
          <w:szCs w:val="20"/>
          <w:lang w:val="en-US"/>
        </w:rPr>
        <w:t>)</w:t>
      </w:r>
      <w:r w:rsidRPr="00BE58AA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274382" w:rsidRPr="00BE58AA" w:rsidRDefault="00274382" w:rsidP="00A62751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274382" w:rsidRPr="00BE58AA" w:rsidRDefault="00274382" w:rsidP="00A62751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BE58AA">
        <w:rPr>
          <w:rFonts w:ascii="Arial" w:hAnsi="Arial" w:cs="Arial"/>
          <w:noProof/>
          <w:sz w:val="20"/>
          <w:szCs w:val="20"/>
          <w:lang w:val="en-US"/>
        </w:rPr>
        <w:t>References</w:t>
      </w:r>
    </w:p>
    <w:p w:rsidR="00274382" w:rsidRPr="00BE58AA" w:rsidRDefault="00274382" w:rsidP="00A62751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AE4FEE" w:rsidRPr="00BE58AA" w:rsidRDefault="00AE4FEE" w:rsidP="00AE4FEE">
      <w:pPr>
        <w:ind w:left="426" w:hanging="426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BE58AA">
        <w:rPr>
          <w:rFonts w:ascii="Arial" w:hAnsi="Arial" w:cs="Arial"/>
          <w:noProof/>
          <w:sz w:val="20"/>
          <w:szCs w:val="20"/>
          <w:lang w:val="en-US"/>
        </w:rPr>
        <w:t xml:space="preserve">Schöne, L., Schindelka, J., Szeremeta, E., Schaefer, T., Hoffmann, D., Rudzinski, K. J., Szmigielski, R., and Herrmann, H. (2014). Atmospheric aqueous phase radical chemistry of the isoprene oxidation products methacrolein, methyl vinyl ketone, methacrylic acid and acrylic acid - kinetics and product studies. </w:t>
      </w:r>
      <w:r w:rsidRPr="00BE58AA">
        <w:rPr>
          <w:rFonts w:ascii="Arial" w:hAnsi="Arial" w:cs="Arial"/>
          <w:i/>
          <w:noProof/>
          <w:sz w:val="20"/>
          <w:szCs w:val="20"/>
          <w:lang w:val="en-US"/>
        </w:rPr>
        <w:t>Physical Chemistry Chemical Physics</w:t>
      </w:r>
      <w:r w:rsidRPr="00BE58AA">
        <w:rPr>
          <w:rFonts w:ascii="Arial" w:hAnsi="Arial" w:cs="Arial"/>
          <w:noProof/>
          <w:sz w:val="20"/>
          <w:szCs w:val="20"/>
          <w:lang w:val="en-US"/>
        </w:rPr>
        <w:t>, 16, 6257.</w:t>
      </w:r>
    </w:p>
    <w:p w:rsidR="00274382" w:rsidRPr="00BE58AA" w:rsidRDefault="00AE4FEE" w:rsidP="00AE4FEE">
      <w:pPr>
        <w:ind w:left="426" w:hanging="426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BE58AA">
        <w:rPr>
          <w:rFonts w:ascii="Arial" w:hAnsi="Arial" w:cs="Arial"/>
          <w:noProof/>
          <w:sz w:val="20"/>
          <w:szCs w:val="20"/>
          <w:lang w:val="en-US"/>
        </w:rPr>
        <w:t xml:space="preserve">Sindelarova, K., Granier, C., Bouarar, I., Guenther, A., Tilmes, S., Stavrakou, T., Müller, J. F., Kuhn, U., Stefani, P., and Knorr, W. (2014). Global data set of biogenic VOC emissions calculated by the MEGAN model over the last 30 years. </w:t>
      </w:r>
      <w:r w:rsidRPr="00BE58AA">
        <w:rPr>
          <w:rFonts w:ascii="Arial" w:hAnsi="Arial" w:cs="Arial"/>
          <w:i/>
          <w:noProof/>
          <w:sz w:val="20"/>
          <w:szCs w:val="20"/>
          <w:lang w:val="en-US"/>
        </w:rPr>
        <w:t>Atmos. Chem. Phys.</w:t>
      </w:r>
      <w:r w:rsidRPr="00BE58AA">
        <w:rPr>
          <w:rFonts w:ascii="Arial" w:hAnsi="Arial" w:cs="Arial"/>
          <w:noProof/>
          <w:sz w:val="20"/>
          <w:szCs w:val="20"/>
          <w:lang w:val="en-US"/>
        </w:rPr>
        <w:t>, 14, 9317.</w:t>
      </w:r>
    </w:p>
    <w:sectPr w:rsidR="00274382" w:rsidRPr="00BE58AA" w:rsidSect="00A62751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40"/>
    <w:rsid w:val="000F7DDD"/>
    <w:rsid w:val="00104FD9"/>
    <w:rsid w:val="00110193"/>
    <w:rsid w:val="00131849"/>
    <w:rsid w:val="00153D18"/>
    <w:rsid w:val="0019267F"/>
    <w:rsid w:val="001A6F72"/>
    <w:rsid w:val="001E63CC"/>
    <w:rsid w:val="001F4812"/>
    <w:rsid w:val="00241318"/>
    <w:rsid w:val="00274382"/>
    <w:rsid w:val="002C5FAF"/>
    <w:rsid w:val="00352A2C"/>
    <w:rsid w:val="00434210"/>
    <w:rsid w:val="00455675"/>
    <w:rsid w:val="00455DBB"/>
    <w:rsid w:val="00473146"/>
    <w:rsid w:val="004B2CE5"/>
    <w:rsid w:val="004F3F40"/>
    <w:rsid w:val="004F56EC"/>
    <w:rsid w:val="00536439"/>
    <w:rsid w:val="006D4ACD"/>
    <w:rsid w:val="006F0B5F"/>
    <w:rsid w:val="00794C3D"/>
    <w:rsid w:val="007A0D68"/>
    <w:rsid w:val="008C47B6"/>
    <w:rsid w:val="008E1BB9"/>
    <w:rsid w:val="009B473C"/>
    <w:rsid w:val="00A34C75"/>
    <w:rsid w:val="00A377E4"/>
    <w:rsid w:val="00A4450B"/>
    <w:rsid w:val="00A62751"/>
    <w:rsid w:val="00AE4FEE"/>
    <w:rsid w:val="00B10E8D"/>
    <w:rsid w:val="00BB51C3"/>
    <w:rsid w:val="00BE58AA"/>
    <w:rsid w:val="00C22D80"/>
    <w:rsid w:val="00C528F2"/>
    <w:rsid w:val="00C54F4B"/>
    <w:rsid w:val="00C8496E"/>
    <w:rsid w:val="00D20F44"/>
    <w:rsid w:val="00D2223F"/>
    <w:rsid w:val="00D8399B"/>
    <w:rsid w:val="00DA4617"/>
    <w:rsid w:val="00DF6705"/>
    <w:rsid w:val="00E05237"/>
    <w:rsid w:val="00E220B8"/>
    <w:rsid w:val="00EC1C7A"/>
    <w:rsid w:val="00F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781CE67-16C0-4837-856C-61531210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  <w:style w:type="character" w:customStyle="1" w:styleId="titel2">
    <w:name w:val="titel2"/>
    <w:basedOn w:val="Absatz-Standardschriftart"/>
    <w:rsid w:val="004F56EC"/>
  </w:style>
  <w:style w:type="character" w:styleId="Platzhaltertext">
    <w:name w:val="Placeholder Text"/>
    <w:basedOn w:val="Absatz-Standardschriftart"/>
    <w:uiPriority w:val="99"/>
    <w:semiHidden/>
    <w:rsid w:val="00C528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obias.otto@tropos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98255-AAA9-4635-B445-4A33C972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translation of Lorem ipsum - At vero eos et accusamus et iusto odio dignissimos ducimus qui blanditiis praesentium volupta</vt:lpstr>
    </vt:vector>
  </TitlesOfParts>
  <Company/>
  <LinksUpToDate>false</LinksUpToDate>
  <CharactersWithSpaces>3449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Tobias Otto</cp:lastModifiedBy>
  <cp:revision>13</cp:revision>
  <dcterms:created xsi:type="dcterms:W3CDTF">2015-05-20T13:26:00Z</dcterms:created>
  <dcterms:modified xsi:type="dcterms:W3CDTF">2015-05-21T13:23:00Z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