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870691" w:rsidRDefault="003469D1" w:rsidP="00DF6705">
      <w:pPr>
        <w:spacing w:after="120"/>
        <w:rPr>
          <w:rFonts w:ascii="Arial" w:hAnsi="Arial" w:cs="Arial"/>
          <w:b/>
          <w:noProof/>
          <w:sz w:val="28"/>
          <w:szCs w:val="28"/>
        </w:rPr>
      </w:pPr>
      <w:r w:rsidRPr="00870691">
        <w:rPr>
          <w:rFonts w:ascii="Arial" w:hAnsi="Arial" w:cs="Arial"/>
          <w:b/>
          <w:noProof/>
          <w:sz w:val="28"/>
          <w:szCs w:val="28"/>
          <w:lang w:val="fr-FR"/>
        </w:rPr>
        <w:t xml:space="preserve">Enantioselective determination </w:t>
      </w:r>
      <w:r w:rsidR="00D545A2" w:rsidRPr="00870691">
        <w:rPr>
          <w:rFonts w:ascii="Arial" w:hAnsi="Arial" w:cs="Arial"/>
          <w:b/>
          <w:noProof/>
          <w:sz w:val="28"/>
          <w:szCs w:val="28"/>
          <w:lang w:val="fr-FR"/>
        </w:rPr>
        <w:t xml:space="preserve">of chiral pharmaceuticals and veterinary medicines in environmental samples </w:t>
      </w:r>
      <w:r w:rsidR="00870691">
        <w:rPr>
          <w:rFonts w:ascii="Arial" w:hAnsi="Arial" w:cs="Arial"/>
          <w:b/>
          <w:noProof/>
          <w:sz w:val="28"/>
          <w:szCs w:val="28"/>
          <w:lang w:val="fr-FR"/>
        </w:rPr>
        <w:t>with an α</w:t>
      </w:r>
      <w:r w:rsidR="00870691">
        <w:rPr>
          <w:rFonts w:ascii="Arial" w:hAnsi="Arial" w:cs="Arial"/>
          <w:b/>
          <w:noProof/>
          <w:sz w:val="28"/>
          <w:szCs w:val="28"/>
          <w:vertAlign w:val="subscript"/>
          <w:lang w:val="fr-FR"/>
        </w:rPr>
        <w:t>1</w:t>
      </w:r>
      <w:r w:rsidR="00870691">
        <w:rPr>
          <w:rFonts w:ascii="Arial" w:hAnsi="Arial" w:cs="Arial"/>
          <w:b/>
          <w:noProof/>
          <w:sz w:val="28"/>
          <w:szCs w:val="28"/>
          <w:lang w:val="fr-FR"/>
        </w:rPr>
        <w:t xml:space="preserve">- acid glycoprotein column and </w:t>
      </w:r>
      <w:r w:rsidR="00D545A2" w:rsidRPr="00870691">
        <w:rPr>
          <w:rFonts w:ascii="Arial" w:hAnsi="Arial" w:cs="Arial"/>
          <w:b/>
          <w:noProof/>
          <w:sz w:val="28"/>
          <w:szCs w:val="28"/>
          <w:lang w:val="fr-FR"/>
        </w:rPr>
        <w:t>liquid chromatography-tandem mass spectrometry</w:t>
      </w:r>
    </w:p>
    <w:p w:rsidR="001F4812" w:rsidRPr="001D63FC" w:rsidRDefault="001F4812" w:rsidP="00DF6705">
      <w:pPr>
        <w:spacing w:after="120"/>
        <w:rPr>
          <w:rFonts w:ascii="Arial" w:hAnsi="Arial" w:cs="Arial"/>
          <w:b/>
          <w:noProof/>
          <w:sz w:val="32"/>
          <w:szCs w:val="32"/>
        </w:rPr>
      </w:pPr>
    </w:p>
    <w:p w:rsidR="00870691" w:rsidRPr="00A34C75" w:rsidRDefault="00870691" w:rsidP="00870691">
      <w:pPr>
        <w:spacing w:after="120"/>
        <w:rPr>
          <w:rFonts w:ascii="Arial" w:hAnsi="Arial" w:cs="Arial"/>
          <w:smallCaps/>
          <w:noProof/>
          <w:vertAlign w:val="superscript"/>
          <w:lang w:val="en-US"/>
        </w:rPr>
      </w:pPr>
      <w:r w:rsidRPr="00870691">
        <w:rPr>
          <w:rFonts w:ascii="Arial" w:hAnsi="Arial" w:cs="Arial"/>
          <w:smallCaps/>
          <w:noProof/>
          <w:u w:val="single"/>
          <w:lang w:val="en-US"/>
        </w:rPr>
        <w:t xml:space="preserve">Maria </w:t>
      </w:r>
      <w:r>
        <w:rPr>
          <w:rFonts w:ascii="Arial" w:hAnsi="Arial" w:cs="Arial"/>
          <w:smallCaps/>
          <w:noProof/>
          <w:u w:val="single"/>
          <w:lang w:val="en-US"/>
        </w:rPr>
        <w:t>Dolores Camacho-M</w:t>
      </w:r>
      <w:r w:rsidRPr="00870691">
        <w:rPr>
          <w:rFonts w:ascii="Arial" w:hAnsi="Arial" w:cs="Arial"/>
          <w:smallCaps/>
          <w:noProof/>
          <w:u w:val="single"/>
          <w:lang w:val="en-US"/>
        </w:rPr>
        <w:t>u</w:t>
      </w:r>
      <w:r w:rsidRPr="00870691">
        <w:rPr>
          <w:rFonts w:ascii="Arial" w:hAnsi="Arial" w:cs="Arial"/>
          <w:iCs/>
          <w:color w:val="252525"/>
          <w:sz w:val="20"/>
          <w:szCs w:val="20"/>
          <w:u w:val="single"/>
          <w:shd w:val="clear" w:color="auto" w:fill="FFFFFF"/>
        </w:rPr>
        <w:t>Ñ</w:t>
      </w:r>
      <w:r w:rsidRPr="00870691">
        <w:rPr>
          <w:rFonts w:ascii="Arial" w:hAnsi="Arial" w:cs="Arial"/>
          <w:smallCaps/>
          <w:noProof/>
          <w:u w:val="single"/>
          <w:lang w:val="en-US"/>
        </w:rPr>
        <w:t>oz</w:t>
      </w:r>
      <w:r w:rsidRPr="00870691">
        <w:rPr>
          <w:rFonts w:ascii="Arial" w:hAnsi="Arial" w:cs="Arial"/>
          <w:smallCaps/>
          <w:noProof/>
          <w:u w:val="single"/>
          <w:vertAlign w:val="superscript"/>
          <w:lang w:val="en-US"/>
        </w:rPr>
        <w:t>1</w:t>
      </w:r>
      <w:r w:rsidRPr="00A34C75">
        <w:rPr>
          <w:rFonts w:ascii="Arial" w:hAnsi="Arial" w:cs="Arial"/>
          <w:smallCaps/>
          <w:noProof/>
          <w:lang w:val="en-US"/>
        </w:rPr>
        <w:t xml:space="preserve">, </w:t>
      </w:r>
      <w:r>
        <w:rPr>
          <w:rFonts w:ascii="Arial" w:hAnsi="Arial" w:cs="Arial"/>
          <w:smallCaps/>
          <w:noProof/>
          <w:lang w:val="en-US"/>
        </w:rPr>
        <w:t>Barbara Kasprzyk-Hordern</w:t>
      </w:r>
      <w:r>
        <w:rPr>
          <w:rFonts w:ascii="Arial" w:hAnsi="Arial" w:cs="Arial"/>
          <w:smallCaps/>
          <w:noProof/>
          <w:vertAlign w:val="superscript"/>
          <w:lang w:val="en-US"/>
        </w:rPr>
        <w:t>1</w:t>
      </w:r>
    </w:p>
    <w:p w:rsidR="00DF6705" w:rsidRPr="000F7DDD"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D545A2">
        <w:rPr>
          <w:rFonts w:ascii="Arial" w:hAnsi="Arial" w:cs="Arial"/>
          <w:noProof/>
          <w:sz w:val="18"/>
          <w:szCs w:val="18"/>
        </w:rPr>
        <w:t>Department of Chemistry, University of Bath</w:t>
      </w:r>
      <w:r w:rsidR="00A34C75" w:rsidRPr="00A34C75">
        <w:rPr>
          <w:rFonts w:ascii="Arial" w:hAnsi="Arial" w:cs="Arial"/>
          <w:noProof/>
          <w:sz w:val="18"/>
          <w:szCs w:val="18"/>
        </w:rPr>
        <w:t xml:space="preserve">, </w:t>
      </w:r>
      <w:r w:rsidR="00D545A2">
        <w:rPr>
          <w:rFonts w:ascii="Arial" w:hAnsi="Arial" w:cs="Arial"/>
          <w:noProof/>
          <w:sz w:val="18"/>
          <w:szCs w:val="18"/>
        </w:rPr>
        <w:t>Claverton Down, BA2 7AY, Bath</w:t>
      </w:r>
      <w:r w:rsidR="00A34C75" w:rsidRPr="00A34C75">
        <w:rPr>
          <w:rFonts w:ascii="Arial" w:hAnsi="Arial" w:cs="Arial"/>
          <w:noProof/>
          <w:sz w:val="18"/>
          <w:szCs w:val="18"/>
        </w:rPr>
        <w:t xml:space="preserve">, </w:t>
      </w:r>
      <w:r w:rsidR="00D545A2">
        <w:rPr>
          <w:rFonts w:ascii="Arial" w:hAnsi="Arial" w:cs="Arial"/>
          <w:noProof/>
          <w:sz w:val="18"/>
          <w:szCs w:val="18"/>
        </w:rPr>
        <w:t>United Kingdom</w:t>
      </w:r>
      <w:r w:rsidR="00A34C75" w:rsidRPr="00A34C75">
        <w:rPr>
          <w:rFonts w:ascii="Arial" w:hAnsi="Arial" w:cs="Arial"/>
          <w:noProof/>
          <w:sz w:val="18"/>
          <w:szCs w:val="18"/>
        </w:rPr>
        <w:t xml:space="preserve">, </w:t>
      </w:r>
      <w:hyperlink r:id="rId5" w:history="1">
        <w:r w:rsidR="00D545A2" w:rsidRPr="003E6DCB">
          <w:rPr>
            <w:rStyle w:val="Hyperlink"/>
            <w:rFonts w:ascii="Arial" w:hAnsi="Arial" w:cs="Arial"/>
            <w:noProof/>
            <w:sz w:val="18"/>
            <w:szCs w:val="18"/>
          </w:rPr>
          <w:t>B.kasprzyk-Hordern@bath.ac.uk</w:t>
        </w:r>
      </w:hyperlink>
    </w:p>
    <w:p w:rsidR="00241318" w:rsidRDefault="00241318"/>
    <w:p w:rsidR="00AF17BC" w:rsidRPr="003469D1" w:rsidRDefault="00AF17BC" w:rsidP="00C54F4B">
      <w:pPr>
        <w:jc w:val="both"/>
        <w:rPr>
          <w:rFonts w:ascii="Arial" w:hAnsi="Arial" w:cs="Arial"/>
          <w:noProof/>
          <w:sz w:val="20"/>
          <w:szCs w:val="20"/>
          <w:lang w:val="en-US"/>
        </w:rPr>
      </w:pPr>
      <w:r w:rsidRPr="003469D1">
        <w:rPr>
          <w:rFonts w:ascii="Arial" w:hAnsi="Arial" w:cs="Arial"/>
          <w:noProof/>
          <w:sz w:val="20"/>
          <w:szCs w:val="20"/>
          <w:lang w:val="en-US"/>
        </w:rPr>
        <w:t>The</w:t>
      </w:r>
      <w:r w:rsidR="00105E5A" w:rsidRPr="003469D1">
        <w:rPr>
          <w:rFonts w:ascii="Arial" w:hAnsi="Arial" w:cs="Arial"/>
          <w:noProof/>
          <w:sz w:val="20"/>
          <w:szCs w:val="20"/>
          <w:lang w:val="en-US"/>
        </w:rPr>
        <w:t xml:space="preserve"> issue of drug chirality is attracting increasing attention among the scientific community</w:t>
      </w:r>
      <w:r w:rsidR="003469D1">
        <w:rPr>
          <w:rFonts w:ascii="Arial" w:hAnsi="Arial" w:cs="Arial"/>
          <w:noProof/>
          <w:sz w:val="20"/>
          <w:szCs w:val="20"/>
          <w:lang w:val="en-US"/>
        </w:rPr>
        <w:t xml:space="preserve">. If we consider that </w:t>
      </w:r>
      <w:r w:rsidR="00105E5A" w:rsidRPr="003469D1">
        <w:rPr>
          <w:rFonts w:ascii="Arial" w:hAnsi="Arial" w:cs="Arial"/>
          <w:noProof/>
          <w:sz w:val="20"/>
          <w:szCs w:val="20"/>
          <w:lang w:val="en-US"/>
        </w:rPr>
        <w:t>approximately 56% of the pharmacologically active compounds (PACs) in use are chiral</w:t>
      </w:r>
      <w:r w:rsidR="003469D1">
        <w:rPr>
          <w:rFonts w:ascii="Arial" w:hAnsi="Arial" w:cs="Arial"/>
          <w:noProof/>
          <w:sz w:val="20"/>
          <w:szCs w:val="20"/>
          <w:lang w:val="en-US"/>
        </w:rPr>
        <w:t xml:space="preserve"> it is </w:t>
      </w:r>
      <w:r w:rsidR="00B212B7">
        <w:rPr>
          <w:rFonts w:ascii="Arial" w:hAnsi="Arial" w:cs="Arial"/>
          <w:noProof/>
          <w:sz w:val="20"/>
          <w:szCs w:val="20"/>
          <w:lang w:val="en-US"/>
        </w:rPr>
        <w:t xml:space="preserve">surprising </w:t>
      </w:r>
      <w:r w:rsidR="003469D1">
        <w:rPr>
          <w:rFonts w:ascii="Arial" w:hAnsi="Arial" w:cs="Arial"/>
          <w:noProof/>
          <w:sz w:val="20"/>
          <w:szCs w:val="20"/>
          <w:lang w:val="en-US"/>
        </w:rPr>
        <w:t>that this phenomenon ha</w:t>
      </w:r>
      <w:r w:rsidR="00B212B7">
        <w:rPr>
          <w:rFonts w:ascii="Arial" w:hAnsi="Arial" w:cs="Arial"/>
          <w:noProof/>
          <w:sz w:val="20"/>
          <w:szCs w:val="20"/>
          <w:lang w:val="en-US"/>
        </w:rPr>
        <w:t>s</w:t>
      </w:r>
      <w:r w:rsidR="00105E5A" w:rsidRPr="003469D1">
        <w:rPr>
          <w:rFonts w:ascii="Arial" w:hAnsi="Arial" w:cs="Arial"/>
          <w:noProof/>
          <w:sz w:val="20"/>
          <w:szCs w:val="20"/>
          <w:lang w:val="en-US"/>
        </w:rPr>
        <w:t xml:space="preserve"> been overlooked in environmental research (environmental, occurrence, fate and toxicity). Chiral PACs </w:t>
      </w:r>
      <w:r w:rsidR="00F11772">
        <w:rPr>
          <w:rFonts w:ascii="Arial" w:hAnsi="Arial" w:cs="Arial"/>
          <w:noProof/>
          <w:sz w:val="20"/>
          <w:szCs w:val="20"/>
          <w:lang w:val="en-US"/>
        </w:rPr>
        <w:t xml:space="preserve">can </w:t>
      </w:r>
      <w:r w:rsidR="00105E5A" w:rsidRPr="003469D1">
        <w:rPr>
          <w:rFonts w:ascii="Arial" w:hAnsi="Arial" w:cs="Arial"/>
          <w:noProof/>
          <w:sz w:val="20"/>
          <w:szCs w:val="20"/>
          <w:lang w:val="en-US"/>
        </w:rPr>
        <w:t xml:space="preserve">exist as </w:t>
      </w:r>
      <w:r w:rsidRPr="003469D1">
        <w:rPr>
          <w:rFonts w:ascii="Arial" w:hAnsi="Arial" w:cs="Arial"/>
          <w:noProof/>
          <w:sz w:val="20"/>
          <w:szCs w:val="20"/>
          <w:lang w:val="en-US"/>
        </w:rPr>
        <w:t>two non-superimposable mirror-im</w:t>
      </w:r>
      <w:r w:rsidR="00105E5A" w:rsidRPr="003469D1">
        <w:rPr>
          <w:rFonts w:ascii="Arial" w:hAnsi="Arial" w:cs="Arial"/>
          <w:noProof/>
          <w:sz w:val="20"/>
          <w:szCs w:val="20"/>
          <w:lang w:val="en-US"/>
        </w:rPr>
        <w:t>age isomers calle</w:t>
      </w:r>
      <w:r w:rsidR="00F11772">
        <w:rPr>
          <w:rFonts w:ascii="Arial" w:hAnsi="Arial" w:cs="Arial"/>
          <w:noProof/>
          <w:sz w:val="20"/>
          <w:szCs w:val="20"/>
          <w:lang w:val="en-US"/>
        </w:rPr>
        <w:t>d</w:t>
      </w:r>
      <w:r w:rsidR="00105E5A" w:rsidRPr="003469D1">
        <w:rPr>
          <w:rFonts w:ascii="Arial" w:hAnsi="Arial" w:cs="Arial"/>
          <w:noProof/>
          <w:sz w:val="20"/>
          <w:szCs w:val="20"/>
          <w:lang w:val="en-US"/>
        </w:rPr>
        <w:t xml:space="preserve"> enantiomers. </w:t>
      </w:r>
      <w:r w:rsidRPr="003469D1">
        <w:rPr>
          <w:rFonts w:ascii="Arial" w:hAnsi="Arial" w:cs="Arial"/>
          <w:noProof/>
          <w:sz w:val="20"/>
          <w:szCs w:val="20"/>
          <w:lang w:val="en-US"/>
        </w:rPr>
        <w:t>Enantiomers show idential physicochemical properties but they differ in their interactions with other chiral molecules. As a consequence of this stereoselectivity,</w:t>
      </w:r>
      <w:r w:rsidR="00DA085E" w:rsidRPr="003469D1">
        <w:rPr>
          <w:rFonts w:ascii="Arial" w:hAnsi="Arial" w:cs="Arial"/>
          <w:noProof/>
          <w:sz w:val="20"/>
          <w:szCs w:val="20"/>
          <w:lang w:val="en-US"/>
        </w:rPr>
        <w:t xml:space="preserve"> enantiomers of the same chiral PAC can differ in their biological properties such as distribution, metabolism and excretion. Despite the fact that usually one enantiomer is responsible for the desired activity</w:t>
      </w:r>
      <w:r w:rsidR="00F11772">
        <w:rPr>
          <w:rFonts w:ascii="Arial" w:hAnsi="Arial" w:cs="Arial"/>
          <w:noProof/>
          <w:sz w:val="20"/>
          <w:szCs w:val="20"/>
          <w:lang w:val="en-US"/>
        </w:rPr>
        <w:t>,</w:t>
      </w:r>
      <w:r w:rsidR="00DA085E" w:rsidRPr="003469D1">
        <w:rPr>
          <w:rFonts w:ascii="Arial" w:hAnsi="Arial" w:cs="Arial"/>
          <w:noProof/>
          <w:sz w:val="20"/>
          <w:szCs w:val="20"/>
          <w:lang w:val="en-US"/>
        </w:rPr>
        <w:t xml:space="preserve"> whereas the other may be inactive or ha</w:t>
      </w:r>
      <w:r w:rsidR="00F11772">
        <w:rPr>
          <w:rFonts w:ascii="Arial" w:hAnsi="Arial" w:cs="Arial"/>
          <w:noProof/>
          <w:sz w:val="20"/>
          <w:szCs w:val="20"/>
          <w:lang w:val="en-US"/>
        </w:rPr>
        <w:t>ve</w:t>
      </w:r>
      <w:r w:rsidR="00DA085E" w:rsidRPr="003469D1">
        <w:rPr>
          <w:rFonts w:ascii="Arial" w:hAnsi="Arial" w:cs="Arial"/>
          <w:noProof/>
          <w:sz w:val="20"/>
          <w:szCs w:val="20"/>
          <w:lang w:val="en-US"/>
        </w:rPr>
        <w:t xml:space="preserve"> high toxicity</w:t>
      </w:r>
      <w:r w:rsidR="00F11772">
        <w:rPr>
          <w:rFonts w:ascii="Arial" w:hAnsi="Arial" w:cs="Arial"/>
          <w:noProof/>
          <w:sz w:val="20"/>
          <w:szCs w:val="20"/>
          <w:lang w:val="en-US"/>
        </w:rPr>
        <w:t>,</w:t>
      </w:r>
      <w:r w:rsidR="00DA085E" w:rsidRPr="003469D1">
        <w:rPr>
          <w:rFonts w:ascii="Arial" w:hAnsi="Arial" w:cs="Arial"/>
          <w:noProof/>
          <w:sz w:val="20"/>
          <w:szCs w:val="20"/>
          <w:lang w:val="en-US"/>
        </w:rPr>
        <w:t xml:space="preserve"> many drugs have been and still are marketed as racemic mixtures (equimolar mixture of two enantiomers).</w:t>
      </w:r>
      <w:r w:rsidR="00FA06CA">
        <w:rPr>
          <w:rFonts w:ascii="Arial" w:hAnsi="Arial" w:cs="Arial"/>
          <w:noProof/>
          <w:sz w:val="20"/>
          <w:szCs w:val="20"/>
          <w:lang w:val="en-US"/>
        </w:rPr>
        <w:t xml:space="preserve"> </w:t>
      </w:r>
      <w:r w:rsidR="00DA085E" w:rsidRPr="003469D1">
        <w:rPr>
          <w:rFonts w:ascii="Arial" w:hAnsi="Arial" w:cs="Arial"/>
          <w:noProof/>
          <w:sz w:val="20"/>
          <w:szCs w:val="20"/>
          <w:lang w:val="en-US"/>
        </w:rPr>
        <w:t>Furthermore, t</w:t>
      </w:r>
      <w:r w:rsidRPr="003469D1">
        <w:rPr>
          <w:rFonts w:ascii="Arial" w:hAnsi="Arial" w:cs="Arial"/>
          <w:noProof/>
          <w:sz w:val="20"/>
          <w:szCs w:val="20"/>
          <w:lang w:val="en-US"/>
        </w:rPr>
        <w:t xml:space="preserve">he relative concentration of enantiomers of a chiral PAC, so called “enantiomeric fraction” EF, can change </w:t>
      </w:r>
      <w:r w:rsidR="00DA085E" w:rsidRPr="003469D1">
        <w:rPr>
          <w:rFonts w:ascii="Arial" w:hAnsi="Arial" w:cs="Arial"/>
          <w:noProof/>
          <w:sz w:val="20"/>
          <w:szCs w:val="20"/>
          <w:lang w:val="en-US"/>
        </w:rPr>
        <w:t>significantly following intake</w:t>
      </w:r>
      <w:r w:rsidR="00F11772">
        <w:rPr>
          <w:rFonts w:ascii="Arial" w:hAnsi="Arial" w:cs="Arial"/>
          <w:noProof/>
          <w:sz w:val="20"/>
          <w:szCs w:val="20"/>
          <w:lang w:val="en-US"/>
        </w:rPr>
        <w:t>,</w:t>
      </w:r>
      <w:r w:rsidR="00DA085E" w:rsidRPr="003469D1">
        <w:rPr>
          <w:rFonts w:ascii="Arial" w:hAnsi="Arial" w:cs="Arial"/>
          <w:noProof/>
          <w:sz w:val="20"/>
          <w:szCs w:val="20"/>
          <w:lang w:val="en-US"/>
        </w:rPr>
        <w:t xml:space="preserve"> by human or animal metabolism, during</w:t>
      </w:r>
      <w:r w:rsidRPr="003469D1">
        <w:rPr>
          <w:rFonts w:ascii="Arial" w:hAnsi="Arial" w:cs="Arial"/>
          <w:noProof/>
          <w:sz w:val="20"/>
          <w:szCs w:val="20"/>
          <w:lang w:val="en-US"/>
        </w:rPr>
        <w:t xml:space="preserve"> biological wastewate</w:t>
      </w:r>
      <w:r w:rsidR="00DA085E" w:rsidRPr="003469D1">
        <w:rPr>
          <w:rFonts w:ascii="Arial" w:hAnsi="Arial" w:cs="Arial"/>
          <w:noProof/>
          <w:sz w:val="20"/>
          <w:szCs w:val="20"/>
          <w:lang w:val="en-US"/>
        </w:rPr>
        <w:t>r treatment and/or during biological processes in the environment</w:t>
      </w:r>
      <w:r w:rsidR="00FA06CA">
        <w:rPr>
          <w:rFonts w:ascii="Arial" w:hAnsi="Arial" w:cs="Arial"/>
          <w:noProof/>
          <w:sz w:val="20"/>
          <w:szCs w:val="20"/>
          <w:lang w:val="en-US"/>
        </w:rPr>
        <w:t xml:space="preserve"> (KASPRZYK-HORDERN, 2010</w:t>
      </w:r>
      <w:r w:rsidRPr="003469D1">
        <w:rPr>
          <w:rFonts w:ascii="Arial" w:hAnsi="Arial" w:cs="Arial"/>
          <w:noProof/>
          <w:sz w:val="20"/>
          <w:szCs w:val="20"/>
          <w:lang w:val="en-US"/>
        </w:rPr>
        <w:t>), leading to an e</w:t>
      </w:r>
      <w:r w:rsidR="00DA085E" w:rsidRPr="003469D1">
        <w:rPr>
          <w:rFonts w:ascii="Arial" w:hAnsi="Arial" w:cs="Arial"/>
          <w:noProof/>
          <w:sz w:val="20"/>
          <w:szCs w:val="20"/>
          <w:lang w:val="en-US"/>
        </w:rPr>
        <w:t>xcess of one</w:t>
      </w:r>
      <w:r w:rsidRPr="003469D1">
        <w:rPr>
          <w:rFonts w:ascii="Arial" w:hAnsi="Arial" w:cs="Arial"/>
          <w:noProof/>
          <w:sz w:val="20"/>
          <w:szCs w:val="20"/>
          <w:lang w:val="en-US"/>
        </w:rPr>
        <w:t xml:space="preserve"> of the enantiomers.</w:t>
      </w:r>
      <w:r w:rsidR="00DA085E" w:rsidRPr="003469D1">
        <w:rPr>
          <w:rFonts w:ascii="Arial" w:hAnsi="Arial" w:cs="Arial"/>
          <w:noProof/>
          <w:sz w:val="20"/>
          <w:szCs w:val="20"/>
          <w:lang w:val="en-US"/>
        </w:rPr>
        <w:t xml:space="preserve"> Enantiomers can also undergo chiral inversion to form an enantiomer of potentially higher toxicity.</w:t>
      </w:r>
    </w:p>
    <w:p w:rsidR="00C54F4B" w:rsidRPr="003469D1" w:rsidRDefault="00C54F4B" w:rsidP="00C54F4B">
      <w:pPr>
        <w:jc w:val="both"/>
        <w:rPr>
          <w:rFonts w:ascii="Arial" w:hAnsi="Arial" w:cs="Arial"/>
          <w:noProof/>
          <w:sz w:val="20"/>
          <w:szCs w:val="20"/>
          <w:lang w:val="fr-FR"/>
        </w:rPr>
      </w:pPr>
    </w:p>
    <w:p w:rsidR="00FA06CA" w:rsidRDefault="00AF17BC" w:rsidP="00C54F4B">
      <w:pPr>
        <w:jc w:val="both"/>
        <w:rPr>
          <w:rFonts w:ascii="Arial" w:hAnsi="Arial" w:cs="Arial"/>
          <w:noProof/>
          <w:sz w:val="20"/>
          <w:szCs w:val="20"/>
          <w:lang w:val="fr-FR"/>
        </w:rPr>
      </w:pPr>
      <w:r w:rsidRPr="003469D1">
        <w:rPr>
          <w:rFonts w:ascii="Arial" w:hAnsi="Arial" w:cs="Arial"/>
          <w:noProof/>
          <w:sz w:val="20"/>
          <w:szCs w:val="20"/>
          <w:lang w:val="fr-FR"/>
        </w:rPr>
        <w:t>The aim of this study was to develop and validate an enantioselective method for the simultaneous determination of human and veterinary chiral PACs and their metabolites in surface water and effluent wastewater by chiral liquid chromatography using a chiral α</w:t>
      </w:r>
      <w:r w:rsidRPr="003469D1">
        <w:rPr>
          <w:rFonts w:ascii="Arial" w:hAnsi="Arial" w:cs="Arial"/>
          <w:noProof/>
          <w:sz w:val="20"/>
          <w:szCs w:val="20"/>
          <w:vertAlign w:val="subscript"/>
          <w:lang w:val="fr-FR"/>
        </w:rPr>
        <w:t>1</w:t>
      </w:r>
      <w:r w:rsidRPr="003469D1">
        <w:rPr>
          <w:rFonts w:ascii="Arial" w:hAnsi="Arial" w:cs="Arial"/>
          <w:noProof/>
          <w:sz w:val="20"/>
          <w:szCs w:val="20"/>
          <w:lang w:val="fr-FR"/>
        </w:rPr>
        <w:t xml:space="preserve">-acid glycoprotein column (Chiral AGP) and tandem mass spectrometry. Excellent chromatographic separation of enantiomers </w:t>
      </w:r>
      <w:r w:rsidR="00105E5A" w:rsidRPr="003469D1">
        <w:rPr>
          <w:rFonts w:ascii="Arial" w:hAnsi="Arial" w:cs="Arial"/>
          <w:noProof/>
          <w:sz w:val="20"/>
          <w:szCs w:val="20"/>
          <w:lang w:val="fr-FR"/>
        </w:rPr>
        <w:t>(Rs ≥ 1.0) was achieved for fexofenadine (antihistamine), chloramphenicol (antibacterial), if</w:t>
      </w:r>
      <w:r w:rsidR="00FA06CA">
        <w:rPr>
          <w:rFonts w:ascii="Arial" w:hAnsi="Arial" w:cs="Arial"/>
          <w:noProof/>
          <w:sz w:val="20"/>
          <w:szCs w:val="20"/>
          <w:lang w:val="fr-FR"/>
        </w:rPr>
        <w:t>osfamide (anticancer), naproxen,</w:t>
      </w:r>
      <w:r w:rsidR="00105E5A" w:rsidRPr="003469D1">
        <w:rPr>
          <w:rFonts w:ascii="Arial" w:hAnsi="Arial" w:cs="Arial"/>
          <w:noProof/>
          <w:sz w:val="20"/>
          <w:szCs w:val="20"/>
          <w:lang w:val="fr-FR"/>
        </w:rPr>
        <w:t xml:space="preserve"> ibuprofen and the metabolite dihydroketoprofen</w:t>
      </w:r>
      <w:r w:rsidR="00FA06CA">
        <w:rPr>
          <w:rFonts w:ascii="Arial" w:hAnsi="Arial" w:cs="Arial"/>
          <w:noProof/>
          <w:sz w:val="20"/>
          <w:szCs w:val="20"/>
          <w:lang w:val="fr-FR"/>
        </w:rPr>
        <w:t xml:space="preserve"> </w:t>
      </w:r>
      <w:r w:rsidR="00FA06CA" w:rsidRPr="003469D1">
        <w:rPr>
          <w:rFonts w:ascii="Arial" w:hAnsi="Arial" w:cs="Arial"/>
          <w:noProof/>
          <w:sz w:val="20"/>
          <w:szCs w:val="20"/>
          <w:lang w:val="fr-FR"/>
        </w:rPr>
        <w:t>(antiinflammatories)</w:t>
      </w:r>
      <w:r w:rsidR="00105E5A" w:rsidRPr="003469D1">
        <w:rPr>
          <w:rFonts w:ascii="Arial" w:hAnsi="Arial" w:cs="Arial"/>
          <w:noProof/>
          <w:sz w:val="20"/>
          <w:szCs w:val="20"/>
          <w:lang w:val="fr-FR"/>
        </w:rPr>
        <w:t>, tetramisole and its metabolite aminorex </w:t>
      </w:r>
      <w:r w:rsidR="00FA06CA" w:rsidRPr="003469D1">
        <w:rPr>
          <w:rFonts w:ascii="Arial" w:hAnsi="Arial" w:cs="Arial"/>
          <w:noProof/>
          <w:sz w:val="20"/>
          <w:szCs w:val="20"/>
          <w:lang w:val="fr-FR"/>
        </w:rPr>
        <w:t>(anthelmintic)</w:t>
      </w:r>
      <w:r w:rsidR="00105E5A" w:rsidRPr="003469D1">
        <w:rPr>
          <w:rFonts w:ascii="Arial" w:hAnsi="Arial" w:cs="Arial"/>
          <w:noProof/>
          <w:sz w:val="20"/>
          <w:szCs w:val="20"/>
          <w:lang w:val="fr-FR"/>
        </w:rPr>
        <w:t>; and</w:t>
      </w:r>
      <w:r w:rsidR="00FA06CA">
        <w:rPr>
          <w:rFonts w:ascii="Arial" w:hAnsi="Arial" w:cs="Arial"/>
          <w:noProof/>
          <w:sz w:val="20"/>
          <w:szCs w:val="20"/>
          <w:lang w:val="fr-FR"/>
        </w:rPr>
        <w:t xml:space="preserve"> partial enantioseparation (Rs = </w:t>
      </w:r>
      <w:r w:rsidR="00105E5A" w:rsidRPr="003469D1">
        <w:rPr>
          <w:rFonts w:ascii="Arial" w:hAnsi="Arial" w:cs="Arial"/>
          <w:noProof/>
          <w:sz w:val="20"/>
          <w:szCs w:val="20"/>
          <w:lang w:val="fr-FR"/>
        </w:rPr>
        <w:t xml:space="preserve">0.7-1.0) for ketoprofen (antiinflammatory) and praziquantel (anthelmintic) and the metabolites 3-N-dechloroethylifosfamide and 10,11-dihydroxycarbamazepine. The overall performance of the method was satisfactory for most of the compounds targeted. </w:t>
      </w:r>
      <w:r w:rsidR="00105E5A" w:rsidRPr="003469D1">
        <w:rPr>
          <w:rFonts w:ascii="Arial" w:hAnsi="Arial" w:cs="Arial"/>
          <w:sz w:val="20"/>
          <w:szCs w:val="20"/>
        </w:rPr>
        <w:t>Method detection limits were at low ng/L for surface water and effluent wastewater</w:t>
      </w:r>
      <w:r w:rsidR="00105E5A" w:rsidRPr="003469D1">
        <w:rPr>
          <w:rFonts w:ascii="Arial" w:hAnsi="Arial" w:cs="Arial"/>
          <w:noProof/>
          <w:sz w:val="20"/>
          <w:szCs w:val="20"/>
          <w:lang w:val="fr-FR"/>
        </w:rPr>
        <w:t xml:space="preserve">. Method intra-day precision was on average under 20 % for both matrices. Sample pre-concentration using solid phase extraction yielded recoveries above 70 % for most of the analytes. </w:t>
      </w:r>
      <w:r w:rsidR="00E544AB">
        <w:rPr>
          <w:rFonts w:asciiTheme="minorHAnsi" w:hAnsiTheme="minorHAnsi"/>
          <w:sz w:val="22"/>
          <w:szCs w:val="22"/>
        </w:rPr>
        <w:t xml:space="preserve">The developed method was applied, for the first time, in the analysis of chiral pharmaceuticals in surface water and effluent </w:t>
      </w:r>
      <w:r w:rsidR="00E544AB" w:rsidRPr="00534864">
        <w:rPr>
          <w:rFonts w:ascii="Arial" w:hAnsi="Arial" w:cs="Arial"/>
          <w:noProof/>
          <w:sz w:val="20"/>
          <w:szCs w:val="20"/>
          <w:lang w:val="fr-FR"/>
        </w:rPr>
        <w:t>wastewater.</w:t>
      </w:r>
    </w:p>
    <w:p w:rsidR="00F11772" w:rsidRPr="00534864" w:rsidRDefault="00F11772" w:rsidP="00F11772">
      <w:pPr>
        <w:spacing w:before="120" w:after="120"/>
        <w:jc w:val="both"/>
        <w:rPr>
          <w:rFonts w:ascii="Arial" w:hAnsi="Arial" w:cs="Arial"/>
          <w:noProof/>
          <w:sz w:val="20"/>
          <w:szCs w:val="20"/>
          <w:lang w:val="fr-FR"/>
        </w:rPr>
      </w:pPr>
      <w:r w:rsidRPr="00534864">
        <w:rPr>
          <w:rFonts w:ascii="Arial" w:hAnsi="Arial" w:cs="Arial"/>
          <w:noProof/>
          <w:sz w:val="20"/>
          <w:szCs w:val="20"/>
          <w:lang w:val="fr-FR"/>
        </w:rPr>
        <w:t xml:space="preserve">To the authors’ knowledge, this method is the first to report enantioseparation of chloramphenicol, fexofenadine, ibuprofen, ifosfamide, ketoprofen, naproxen, praziquantel, tetramisole and the metabolites aminorex, 3-N-dechloroethylifosfamide, 10,11-dihydro-10-hydroxycarbamazepine and dihydroketoprofen with the AGP </w:t>
      </w:r>
      <w:r w:rsidR="00E544AB" w:rsidRPr="00534864">
        <w:rPr>
          <w:rFonts w:ascii="Arial" w:hAnsi="Arial" w:cs="Arial"/>
          <w:noProof/>
          <w:sz w:val="20"/>
          <w:szCs w:val="20"/>
          <w:lang w:val="fr-FR"/>
        </w:rPr>
        <w:t>chiral stationary phase</w:t>
      </w:r>
      <w:r w:rsidRPr="00534864">
        <w:rPr>
          <w:rFonts w:ascii="Arial" w:hAnsi="Arial" w:cs="Arial"/>
          <w:noProof/>
          <w:sz w:val="20"/>
          <w:szCs w:val="20"/>
          <w:lang w:val="fr-FR"/>
        </w:rPr>
        <w:t xml:space="preserve"> in environmental samples.</w:t>
      </w:r>
    </w:p>
    <w:p w:rsidR="00F11772" w:rsidRPr="003469D1" w:rsidRDefault="00F11772" w:rsidP="00C54F4B">
      <w:pPr>
        <w:jc w:val="both"/>
        <w:rPr>
          <w:rFonts w:ascii="Arial" w:hAnsi="Arial" w:cs="Arial"/>
          <w:noProof/>
          <w:sz w:val="20"/>
          <w:szCs w:val="20"/>
          <w:lang w:val="fr-FR"/>
        </w:rPr>
      </w:pPr>
      <w:bookmarkStart w:id="0" w:name="_GoBack"/>
      <w:bookmarkEnd w:id="0"/>
    </w:p>
    <w:sectPr w:rsidR="00F11772" w:rsidRPr="003469D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05E5A"/>
    <w:rsid w:val="001A6F72"/>
    <w:rsid w:val="001F4812"/>
    <w:rsid w:val="00241318"/>
    <w:rsid w:val="003469D1"/>
    <w:rsid w:val="00455675"/>
    <w:rsid w:val="00455DBB"/>
    <w:rsid w:val="004B2CE5"/>
    <w:rsid w:val="004F3F40"/>
    <w:rsid w:val="00534864"/>
    <w:rsid w:val="00536439"/>
    <w:rsid w:val="00870691"/>
    <w:rsid w:val="008C47B6"/>
    <w:rsid w:val="008E1BB9"/>
    <w:rsid w:val="008E1E34"/>
    <w:rsid w:val="009B473C"/>
    <w:rsid w:val="00A34C75"/>
    <w:rsid w:val="00A377E4"/>
    <w:rsid w:val="00A4450B"/>
    <w:rsid w:val="00AF17BC"/>
    <w:rsid w:val="00B10E8D"/>
    <w:rsid w:val="00B212B7"/>
    <w:rsid w:val="00BB51C3"/>
    <w:rsid w:val="00C22D80"/>
    <w:rsid w:val="00C54F4B"/>
    <w:rsid w:val="00D2223F"/>
    <w:rsid w:val="00D545A2"/>
    <w:rsid w:val="00DA085E"/>
    <w:rsid w:val="00DF6705"/>
    <w:rsid w:val="00E05237"/>
    <w:rsid w:val="00E544AB"/>
    <w:rsid w:val="00F11772"/>
    <w:rsid w:val="00F8429A"/>
    <w:rsid w:val="00FA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Heading3">
    <w:name w:val="heading 3"/>
    <w:basedOn w:val="Normal"/>
    <w:link w:val="Heading3Char"/>
    <w:uiPriority w:val="9"/>
    <w:qFormat/>
    <w:rsid w:val="00FA06C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customStyle="1" w:styleId="Heading3Char">
    <w:name w:val="Heading 3 Char"/>
    <w:basedOn w:val="DefaultParagraphFont"/>
    <w:link w:val="Heading3"/>
    <w:uiPriority w:val="9"/>
    <w:rsid w:val="00FA06CA"/>
    <w:rPr>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paragraph" w:styleId="Heading3">
    <w:name w:val="heading 3"/>
    <w:basedOn w:val="Normal"/>
    <w:link w:val="Heading3Char"/>
    <w:uiPriority w:val="9"/>
    <w:qFormat/>
    <w:rsid w:val="00FA06C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customStyle="1" w:styleId="Heading3Char">
    <w:name w:val="Heading 3 Char"/>
    <w:basedOn w:val="DefaultParagraphFont"/>
    <w:link w:val="Heading3"/>
    <w:uiPriority w:val="9"/>
    <w:rsid w:val="00FA06CA"/>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385227994">
      <w:bodyDiv w:val="1"/>
      <w:marLeft w:val="0"/>
      <w:marRight w:val="0"/>
      <w:marTop w:val="0"/>
      <w:marBottom w:val="0"/>
      <w:divBdr>
        <w:top w:val="none" w:sz="0" w:space="0" w:color="auto"/>
        <w:left w:val="none" w:sz="0" w:space="0" w:color="auto"/>
        <w:bottom w:val="none" w:sz="0" w:space="0" w:color="auto"/>
        <w:right w:val="none" w:sz="0" w:space="0" w:color="auto"/>
      </w:divBdr>
    </w:div>
    <w:div w:id="809204940">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1315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asprzyk-Hordern@bath.ac.uk"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University of Bath</Company>
  <LinksUpToDate>false</LinksUpToDate>
  <CharactersWithSpaces>3520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BKH2</cp:lastModifiedBy>
  <cp:revision>2</cp:revision>
  <dcterms:created xsi:type="dcterms:W3CDTF">2015-04-21T10:36:00Z</dcterms:created>
  <dcterms:modified xsi:type="dcterms:W3CDTF">2015-04-21T10:36:00Z</dcterms:modified>
</cp:coreProperties>
</file>