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705" w:rsidRPr="008B33AE" w:rsidRDefault="008B33AE" w:rsidP="00DF6705">
      <w:pPr>
        <w:spacing w:after="120"/>
        <w:rPr>
          <w:rFonts w:ascii="Arial" w:hAnsi="Arial" w:cs="Arial"/>
          <w:b/>
          <w:noProof/>
          <w:sz w:val="28"/>
          <w:szCs w:val="28"/>
          <w:lang w:val="en-US"/>
        </w:rPr>
      </w:pPr>
      <w:r w:rsidRPr="008B33AE">
        <w:rPr>
          <w:rFonts w:ascii="Arial" w:hAnsi="Arial" w:cs="Arial"/>
          <w:b/>
          <w:i/>
          <w:noProof/>
          <w:sz w:val="28"/>
          <w:szCs w:val="28"/>
          <w:lang w:val="en-GB"/>
        </w:rPr>
        <w:t>In situ</w:t>
      </w:r>
      <w:r w:rsidRPr="008B33AE">
        <w:rPr>
          <w:rFonts w:ascii="Arial" w:hAnsi="Arial" w:cs="Arial"/>
          <w:b/>
          <w:noProof/>
          <w:sz w:val="28"/>
          <w:szCs w:val="28"/>
          <w:lang w:val="en-GB"/>
        </w:rPr>
        <w:t xml:space="preserve"> microcosms and compound-specific stable isotope analysis (CSIA) for evaluating biodegradation of ethyl </w:t>
      </w:r>
      <w:r w:rsidRPr="008B33AE">
        <w:rPr>
          <w:rFonts w:ascii="Arial" w:hAnsi="Arial" w:cs="Arial"/>
          <w:b/>
          <w:i/>
          <w:noProof/>
          <w:sz w:val="28"/>
          <w:szCs w:val="28"/>
          <w:lang w:val="en-GB"/>
        </w:rPr>
        <w:t>tert</w:t>
      </w:r>
      <w:r w:rsidRPr="008B33AE">
        <w:rPr>
          <w:rFonts w:ascii="Arial" w:hAnsi="Arial" w:cs="Arial"/>
          <w:b/>
          <w:noProof/>
          <w:sz w:val="28"/>
          <w:szCs w:val="28"/>
          <w:lang w:val="en-GB"/>
        </w:rPr>
        <w:t>-butyl ether (ETBE) at a fuel-contaminated field site</w:t>
      </w:r>
    </w:p>
    <w:p w:rsidR="001F4812" w:rsidRPr="008B33AE" w:rsidRDefault="001F4812" w:rsidP="00DF6705">
      <w:pPr>
        <w:spacing w:after="120"/>
        <w:rPr>
          <w:rFonts w:ascii="Arial" w:hAnsi="Arial" w:cs="Arial"/>
          <w:b/>
          <w:noProof/>
          <w:sz w:val="32"/>
          <w:szCs w:val="32"/>
          <w:lang w:val="en-US"/>
        </w:rPr>
      </w:pPr>
    </w:p>
    <w:p w:rsidR="00DF6705" w:rsidRPr="008B33AE" w:rsidRDefault="008B33AE" w:rsidP="00DF6705">
      <w:pPr>
        <w:spacing w:after="120"/>
        <w:rPr>
          <w:rFonts w:ascii="Arial" w:hAnsi="Arial" w:cs="Arial"/>
          <w:smallCaps/>
          <w:noProof/>
          <w:vertAlign w:val="superscript"/>
        </w:rPr>
      </w:pPr>
      <w:r w:rsidRPr="008B33AE">
        <w:rPr>
          <w:rFonts w:ascii="Arial" w:hAnsi="Arial" w:cs="Arial"/>
          <w:smallCaps/>
          <w:noProof/>
        </w:rPr>
        <w:t>Petra Bombach</w:t>
      </w:r>
      <w:r w:rsidR="00DF6705" w:rsidRPr="008B33AE">
        <w:rPr>
          <w:rFonts w:ascii="Arial" w:hAnsi="Arial" w:cs="Arial"/>
          <w:smallCaps/>
          <w:noProof/>
          <w:vertAlign w:val="superscript"/>
        </w:rPr>
        <w:t>1</w:t>
      </w:r>
      <w:r w:rsidRPr="008B33AE">
        <w:rPr>
          <w:rFonts w:ascii="Arial" w:hAnsi="Arial" w:cs="Arial"/>
          <w:smallCaps/>
          <w:noProof/>
          <w:vertAlign w:val="superscript"/>
        </w:rPr>
        <w:t>,2</w:t>
      </w:r>
      <w:r w:rsidR="00DF6705" w:rsidRPr="008B33AE">
        <w:rPr>
          <w:rFonts w:ascii="Arial" w:hAnsi="Arial" w:cs="Arial"/>
          <w:smallCaps/>
          <w:noProof/>
        </w:rPr>
        <w:t xml:space="preserve">, </w:t>
      </w:r>
      <w:r w:rsidRPr="008B33AE">
        <w:rPr>
          <w:rFonts w:ascii="Arial" w:hAnsi="Arial" w:cs="Arial"/>
          <w:smallCaps/>
          <w:noProof/>
        </w:rPr>
        <w:t>Norbert Nägele</w:t>
      </w:r>
      <w:r w:rsidRPr="008B33AE">
        <w:rPr>
          <w:rFonts w:ascii="Arial" w:hAnsi="Arial" w:cs="Arial"/>
          <w:smallCaps/>
          <w:noProof/>
          <w:vertAlign w:val="superscript"/>
        </w:rPr>
        <w:t>3</w:t>
      </w:r>
      <w:r w:rsidRPr="008B33AE">
        <w:rPr>
          <w:rFonts w:ascii="Arial" w:hAnsi="Arial" w:cs="Arial"/>
          <w:smallCaps/>
          <w:noProof/>
        </w:rPr>
        <w:t xml:space="preserve">, </w:t>
      </w:r>
      <w:r w:rsidRPr="008B33AE">
        <w:rPr>
          <w:rFonts w:ascii="Arial" w:hAnsi="Arial" w:cs="Arial"/>
          <w:smallCaps/>
          <w:noProof/>
        </w:rPr>
        <w:t>Mònica Rosell</w:t>
      </w:r>
      <w:r>
        <w:rPr>
          <w:rFonts w:ascii="Arial" w:hAnsi="Arial" w:cs="Arial"/>
          <w:smallCaps/>
          <w:noProof/>
          <w:vertAlign w:val="superscript"/>
        </w:rPr>
        <w:t>1,4</w:t>
      </w:r>
      <w:r w:rsidRPr="008B33AE">
        <w:rPr>
          <w:rFonts w:ascii="Arial" w:hAnsi="Arial" w:cs="Arial"/>
          <w:smallCaps/>
          <w:noProof/>
        </w:rPr>
        <w:t xml:space="preserve">, </w:t>
      </w:r>
      <w:r w:rsidRPr="008B33AE">
        <w:rPr>
          <w:rFonts w:ascii="Arial" w:hAnsi="Arial" w:cs="Arial"/>
          <w:smallCaps/>
          <w:noProof/>
        </w:rPr>
        <w:t>Hans H. Richnow</w:t>
      </w:r>
      <w:r>
        <w:rPr>
          <w:rFonts w:ascii="Arial" w:hAnsi="Arial" w:cs="Arial"/>
          <w:smallCaps/>
          <w:noProof/>
          <w:vertAlign w:val="superscript"/>
        </w:rPr>
        <w:t>1</w:t>
      </w:r>
      <w:r w:rsidRPr="008B33AE">
        <w:rPr>
          <w:rFonts w:ascii="Arial" w:hAnsi="Arial" w:cs="Arial"/>
          <w:smallCaps/>
          <w:noProof/>
        </w:rPr>
        <w:t xml:space="preserve">, </w:t>
      </w:r>
      <w:r w:rsidRPr="008B33AE">
        <w:rPr>
          <w:rFonts w:ascii="Arial" w:hAnsi="Arial" w:cs="Arial"/>
          <w:smallCaps/>
          <w:noProof/>
        </w:rPr>
        <w:t>Anko Fischer</w:t>
      </w:r>
      <w:r>
        <w:rPr>
          <w:rFonts w:ascii="Arial" w:hAnsi="Arial" w:cs="Arial"/>
          <w:smallCaps/>
          <w:noProof/>
          <w:vertAlign w:val="superscript"/>
        </w:rPr>
        <w:t>2</w:t>
      </w:r>
    </w:p>
    <w:p w:rsidR="00DF6705" w:rsidRPr="008B33AE" w:rsidRDefault="00DF6705" w:rsidP="00DF6705">
      <w:pPr>
        <w:rPr>
          <w:rFonts w:ascii="Arial" w:hAnsi="Arial" w:cs="Arial"/>
          <w:noProof/>
          <w:sz w:val="18"/>
          <w:szCs w:val="18"/>
          <w:lang w:val="en-US"/>
        </w:rPr>
      </w:pPr>
      <w:r w:rsidRPr="008B33AE">
        <w:rPr>
          <w:rFonts w:ascii="Arial" w:hAnsi="Arial" w:cs="Arial"/>
          <w:noProof/>
          <w:sz w:val="18"/>
          <w:szCs w:val="18"/>
          <w:vertAlign w:val="superscript"/>
          <w:lang w:val="en-US"/>
        </w:rPr>
        <w:t xml:space="preserve">1 </w:t>
      </w:r>
      <w:r w:rsidR="008B33AE" w:rsidRPr="008B33AE">
        <w:rPr>
          <w:rFonts w:ascii="Arial" w:hAnsi="Arial" w:cs="Arial"/>
          <w:noProof/>
          <w:sz w:val="18"/>
          <w:szCs w:val="18"/>
          <w:lang w:val="en-US"/>
        </w:rPr>
        <w:t>Helmholtz Centre for Environmental Research</w:t>
      </w:r>
      <w:r w:rsidR="008B33AE">
        <w:rPr>
          <w:rFonts w:ascii="Arial" w:hAnsi="Arial" w:cs="Arial"/>
          <w:noProof/>
          <w:sz w:val="18"/>
          <w:szCs w:val="18"/>
          <w:lang w:val="en-US"/>
        </w:rPr>
        <w:t xml:space="preserve"> - UFZ</w:t>
      </w:r>
      <w:r w:rsidR="008B33AE" w:rsidRPr="008B33AE">
        <w:rPr>
          <w:rFonts w:ascii="Arial" w:hAnsi="Arial" w:cs="Arial"/>
          <w:noProof/>
          <w:sz w:val="18"/>
          <w:szCs w:val="18"/>
          <w:lang w:val="en-US"/>
        </w:rPr>
        <w:t>, Department of Isotope Biogeochemistry, Permoserstrasse 15, 04318 Leipzig, Germany</w:t>
      </w:r>
      <w:r w:rsidR="008B33AE">
        <w:rPr>
          <w:rFonts w:ascii="Arial" w:hAnsi="Arial" w:cs="Arial"/>
          <w:noProof/>
          <w:sz w:val="18"/>
          <w:szCs w:val="18"/>
          <w:lang w:val="en-US"/>
        </w:rPr>
        <w:t xml:space="preserve">, </w:t>
      </w:r>
      <w:hyperlink r:id="rId4" w:history="1">
        <w:r w:rsidR="008B33AE" w:rsidRPr="00654FFD">
          <w:rPr>
            <w:rStyle w:val="Hyperlink"/>
            <w:rFonts w:ascii="Arial" w:hAnsi="Arial" w:cs="Arial"/>
            <w:noProof/>
            <w:sz w:val="18"/>
            <w:szCs w:val="18"/>
            <w:lang w:val="en-US"/>
          </w:rPr>
          <w:t>hans.richnow@ufz.de</w:t>
        </w:r>
      </w:hyperlink>
      <w:r w:rsidR="008B33AE">
        <w:rPr>
          <w:rFonts w:ascii="Arial" w:hAnsi="Arial" w:cs="Arial"/>
          <w:noProof/>
          <w:sz w:val="18"/>
          <w:szCs w:val="18"/>
          <w:lang w:val="en-US"/>
        </w:rPr>
        <w:t xml:space="preserve"> </w:t>
      </w:r>
      <w:hyperlink r:id="rId5" w:history="1"/>
    </w:p>
    <w:p w:rsidR="00DF6705" w:rsidRDefault="00DF6705" w:rsidP="00AC4251">
      <w:pPr>
        <w:rPr>
          <w:rFonts w:ascii="Arial" w:hAnsi="Arial" w:cs="Arial"/>
          <w:noProof/>
          <w:sz w:val="18"/>
          <w:szCs w:val="18"/>
        </w:rPr>
      </w:pPr>
      <w:r w:rsidRPr="000F7DDD">
        <w:rPr>
          <w:rFonts w:ascii="Arial" w:hAnsi="Arial" w:cs="Arial"/>
          <w:noProof/>
          <w:sz w:val="18"/>
          <w:szCs w:val="18"/>
          <w:vertAlign w:val="superscript"/>
        </w:rPr>
        <w:t xml:space="preserve">2 </w:t>
      </w:r>
      <w:r w:rsidR="008B33AE" w:rsidRPr="008B33AE">
        <w:rPr>
          <w:rFonts w:ascii="Arial" w:hAnsi="Arial" w:cs="Arial"/>
          <w:noProof/>
          <w:sz w:val="18"/>
          <w:szCs w:val="18"/>
        </w:rPr>
        <w:t>Isodetect GmbH, Deutscher Platz 5b, 04103 Leipzig, Germany</w:t>
      </w:r>
      <w:r w:rsidR="00A34C75" w:rsidRPr="00A34C75">
        <w:rPr>
          <w:rFonts w:ascii="Arial" w:hAnsi="Arial" w:cs="Arial"/>
          <w:noProof/>
          <w:sz w:val="18"/>
          <w:szCs w:val="18"/>
        </w:rPr>
        <w:t xml:space="preserve">, </w:t>
      </w:r>
      <w:hyperlink r:id="rId6" w:history="1">
        <w:r w:rsidR="008B33AE" w:rsidRPr="00654FFD">
          <w:rPr>
            <w:rStyle w:val="Hyperlink"/>
            <w:rFonts w:ascii="Arial" w:hAnsi="Arial" w:cs="Arial"/>
            <w:noProof/>
            <w:sz w:val="18"/>
            <w:szCs w:val="18"/>
          </w:rPr>
          <w:t>petra.bomach@isodetect.de</w:t>
        </w:r>
      </w:hyperlink>
      <w:r w:rsidR="008B33AE">
        <w:rPr>
          <w:rFonts w:ascii="Arial" w:hAnsi="Arial" w:cs="Arial"/>
          <w:noProof/>
          <w:sz w:val="18"/>
          <w:szCs w:val="18"/>
        </w:rPr>
        <w:t xml:space="preserve">, </w:t>
      </w:r>
      <w:hyperlink r:id="rId7" w:history="1">
        <w:r w:rsidR="00AC4251" w:rsidRPr="00654FFD">
          <w:rPr>
            <w:rStyle w:val="Hyperlink"/>
            <w:rFonts w:ascii="Arial" w:hAnsi="Arial" w:cs="Arial"/>
            <w:noProof/>
            <w:sz w:val="18"/>
            <w:szCs w:val="18"/>
          </w:rPr>
          <w:t>fischer@isodetect.de</w:t>
        </w:r>
      </w:hyperlink>
    </w:p>
    <w:p w:rsidR="00AC4251" w:rsidRDefault="00AC4251" w:rsidP="00AC4251">
      <w:pPr>
        <w:rPr>
          <w:rFonts w:ascii="Arial" w:hAnsi="Arial" w:cs="Arial"/>
          <w:noProof/>
          <w:sz w:val="18"/>
          <w:szCs w:val="18"/>
          <w:lang w:val="en-US"/>
        </w:rPr>
      </w:pPr>
      <w:r>
        <w:rPr>
          <w:rFonts w:ascii="Arial" w:hAnsi="Arial" w:cs="Arial"/>
          <w:noProof/>
          <w:sz w:val="18"/>
          <w:szCs w:val="18"/>
          <w:vertAlign w:val="superscript"/>
          <w:lang w:val="en-US"/>
        </w:rPr>
        <w:t>3</w:t>
      </w:r>
      <w:r w:rsidRPr="00AC4251">
        <w:rPr>
          <w:rFonts w:ascii="Arial" w:hAnsi="Arial" w:cs="Arial"/>
          <w:noProof/>
          <w:sz w:val="18"/>
          <w:szCs w:val="18"/>
          <w:vertAlign w:val="superscript"/>
          <w:lang w:val="en-US"/>
        </w:rPr>
        <w:t xml:space="preserve"> </w:t>
      </w:r>
      <w:r w:rsidRPr="00AC4251">
        <w:rPr>
          <w:rFonts w:ascii="Arial" w:hAnsi="Arial" w:cs="Arial"/>
          <w:noProof/>
          <w:sz w:val="18"/>
          <w:szCs w:val="18"/>
          <w:lang w:val="en-US"/>
        </w:rPr>
        <w:t>Kuvier the Biotech Company S.L., Ctra. N-I, p.k. 234 – P.E. INBISA 23ª, 09001 Burgos, Spain</w:t>
      </w:r>
      <w:r>
        <w:rPr>
          <w:rFonts w:ascii="Arial" w:hAnsi="Arial" w:cs="Arial"/>
          <w:noProof/>
          <w:sz w:val="18"/>
          <w:szCs w:val="18"/>
          <w:lang w:val="en-US"/>
        </w:rPr>
        <w:t xml:space="preserve">, </w:t>
      </w:r>
      <w:hyperlink r:id="rId8" w:history="1">
        <w:r w:rsidRPr="00654FFD">
          <w:rPr>
            <w:rStyle w:val="Hyperlink"/>
            <w:rFonts w:ascii="Arial" w:hAnsi="Arial" w:cs="Arial"/>
            <w:noProof/>
            <w:sz w:val="18"/>
            <w:szCs w:val="18"/>
            <w:lang w:val="en-US"/>
          </w:rPr>
          <w:t>Norbertnagele@kepler.es</w:t>
        </w:r>
      </w:hyperlink>
      <w:r>
        <w:rPr>
          <w:rFonts w:ascii="Arial" w:hAnsi="Arial" w:cs="Arial"/>
          <w:noProof/>
          <w:sz w:val="18"/>
          <w:szCs w:val="18"/>
          <w:lang w:val="en-US"/>
        </w:rPr>
        <w:t xml:space="preserve"> </w:t>
      </w:r>
    </w:p>
    <w:p w:rsidR="00AC4251" w:rsidRPr="00AC4251" w:rsidRDefault="00AC4251" w:rsidP="00DF6705">
      <w:pPr>
        <w:spacing w:after="120"/>
        <w:rPr>
          <w:rFonts w:ascii="Arial" w:hAnsi="Arial" w:cs="Arial"/>
          <w:noProof/>
          <w:sz w:val="18"/>
          <w:szCs w:val="18"/>
          <w:lang w:val="en-US"/>
        </w:rPr>
      </w:pPr>
      <w:r>
        <w:rPr>
          <w:rFonts w:ascii="Arial" w:hAnsi="Arial" w:cs="Arial"/>
          <w:noProof/>
          <w:sz w:val="18"/>
          <w:szCs w:val="18"/>
          <w:vertAlign w:val="superscript"/>
          <w:lang w:val="en-US"/>
        </w:rPr>
        <w:t>4</w:t>
      </w:r>
      <w:r w:rsidRPr="00AC4251">
        <w:rPr>
          <w:rFonts w:ascii="Arial" w:hAnsi="Arial" w:cs="Arial"/>
          <w:noProof/>
          <w:sz w:val="18"/>
          <w:szCs w:val="18"/>
          <w:vertAlign w:val="superscript"/>
          <w:lang w:val="en-US"/>
        </w:rPr>
        <w:t xml:space="preserve"> </w:t>
      </w:r>
      <w:r w:rsidRPr="00AC4251">
        <w:rPr>
          <w:rFonts w:ascii="Arial" w:hAnsi="Arial" w:cs="Arial"/>
          <w:noProof/>
          <w:sz w:val="18"/>
          <w:szCs w:val="18"/>
          <w:lang w:val="en-US"/>
        </w:rPr>
        <w:t>Current address: Grup de Mineralogia Aplicada i Geoquímica de Fluids, Departament de Cristal</w:t>
      </w:r>
      <w:r>
        <w:rPr>
          <w:rFonts w:ascii="Arial" w:hAnsi="Arial" w:cs="Arial"/>
          <w:noProof/>
          <w:sz w:val="18"/>
          <w:szCs w:val="18"/>
          <w:lang w:val="en-US"/>
        </w:rPr>
        <w:t xml:space="preserve"> </w:t>
      </w:r>
      <w:r w:rsidRPr="00AC4251">
        <w:rPr>
          <w:rFonts w:ascii="Arial" w:hAnsi="Arial" w:cs="Arial"/>
          <w:noProof/>
          <w:sz w:val="18"/>
          <w:szCs w:val="18"/>
          <w:lang w:val="en-US"/>
        </w:rPr>
        <w:t>lografia, Mineralogia i Dipòsits Minerals, Facultat de Geologia, Universitat de Barcelona (UB), C/Martí i Franquès s/n, 08028 Barcelona, Spain</w:t>
      </w:r>
      <w:r>
        <w:rPr>
          <w:rFonts w:ascii="Arial" w:hAnsi="Arial" w:cs="Arial"/>
          <w:noProof/>
          <w:sz w:val="18"/>
          <w:szCs w:val="18"/>
          <w:lang w:val="en-US"/>
        </w:rPr>
        <w:t xml:space="preserve">, </w:t>
      </w:r>
      <w:hyperlink r:id="rId9" w:history="1">
        <w:r w:rsidRPr="00654FFD">
          <w:rPr>
            <w:rStyle w:val="Hyperlink"/>
            <w:rFonts w:ascii="Arial" w:hAnsi="Arial" w:cs="Arial"/>
            <w:noProof/>
            <w:sz w:val="18"/>
            <w:szCs w:val="18"/>
            <w:lang w:val="en-US"/>
          </w:rPr>
          <w:t>monica.rosell@ub.edu</w:t>
        </w:r>
      </w:hyperlink>
      <w:r>
        <w:rPr>
          <w:rFonts w:ascii="Arial" w:hAnsi="Arial" w:cs="Arial"/>
          <w:noProof/>
          <w:sz w:val="18"/>
          <w:szCs w:val="18"/>
          <w:lang w:val="en-US"/>
        </w:rPr>
        <w:t xml:space="preserve"> </w:t>
      </w:r>
    </w:p>
    <w:p w:rsidR="00241318" w:rsidRPr="00AC4251" w:rsidRDefault="00241318">
      <w:pPr>
        <w:rPr>
          <w:lang w:val="en-US"/>
        </w:rPr>
      </w:pPr>
    </w:p>
    <w:p w:rsidR="00AC4251" w:rsidRPr="00AC4251" w:rsidRDefault="003953D2" w:rsidP="003953D2">
      <w:pPr>
        <w:jc w:val="both"/>
        <w:rPr>
          <w:rFonts w:ascii="Arial" w:eastAsia="Calibri" w:hAnsi="Arial" w:cs="Arial"/>
          <w:sz w:val="20"/>
          <w:szCs w:val="20"/>
          <w:lang w:val="en-US" w:eastAsia="en-US"/>
        </w:rPr>
      </w:pPr>
      <w:r w:rsidRPr="003953D2">
        <w:rPr>
          <w:rFonts w:ascii="Arial" w:hAnsi="Arial" w:cs="Arial"/>
          <w:sz w:val="20"/>
          <w:szCs w:val="20"/>
          <w:lang w:val="es-ES"/>
        </w:rPr>
        <w:t xml:space="preserve">Ethyl </w:t>
      </w:r>
      <w:r w:rsidRPr="003953D2">
        <w:rPr>
          <w:rFonts w:ascii="Arial" w:hAnsi="Arial" w:cs="Arial"/>
          <w:i/>
          <w:sz w:val="20"/>
          <w:szCs w:val="20"/>
          <w:lang w:val="es-ES"/>
        </w:rPr>
        <w:t>tert</w:t>
      </w:r>
      <w:r w:rsidRPr="003953D2">
        <w:rPr>
          <w:rFonts w:ascii="Arial" w:hAnsi="Arial" w:cs="Arial"/>
          <w:sz w:val="20"/>
          <w:szCs w:val="20"/>
          <w:lang w:val="es-ES"/>
        </w:rPr>
        <w:t xml:space="preserve">-butyl ether (ETBE) is an increasingly used fuel additive in Europe. In contrast to methyl </w:t>
      </w:r>
      <w:r w:rsidRPr="003953D2">
        <w:rPr>
          <w:rFonts w:ascii="Arial" w:hAnsi="Arial" w:cs="Arial"/>
          <w:i/>
          <w:sz w:val="20"/>
          <w:szCs w:val="20"/>
          <w:lang w:val="es-ES"/>
        </w:rPr>
        <w:t>tert</w:t>
      </w:r>
      <w:r w:rsidRPr="003953D2">
        <w:rPr>
          <w:rFonts w:ascii="Arial" w:hAnsi="Arial" w:cs="Arial"/>
          <w:sz w:val="20"/>
          <w:szCs w:val="20"/>
          <w:lang w:val="es-ES"/>
        </w:rPr>
        <w:t xml:space="preserve">-butyl ether (MTBE), it can be produced from isobutene and bioethanol which is accounted as a biofuel and is partly promoted by tax incentives. As a result, ETBE is is frequently detected in soil, surface and groundwater. </w:t>
      </w:r>
      <w:r w:rsidRPr="003953D2">
        <w:rPr>
          <w:rFonts w:ascii="Arial" w:hAnsi="Arial" w:cs="Arial"/>
          <w:sz w:val="20"/>
          <w:szCs w:val="20"/>
          <w:lang w:val="en-US"/>
        </w:rPr>
        <w:t>Due to its low odor and flavor thresholds in water (1-2 µg L</w:t>
      </w:r>
      <w:r w:rsidRPr="003953D2">
        <w:rPr>
          <w:rFonts w:ascii="Arial" w:hAnsi="Arial" w:cs="Arial"/>
          <w:sz w:val="20"/>
          <w:szCs w:val="20"/>
          <w:vertAlign w:val="superscript"/>
          <w:lang w:val="en-US"/>
        </w:rPr>
        <w:t>-1</w:t>
      </w:r>
      <w:r w:rsidRPr="003953D2">
        <w:rPr>
          <w:rFonts w:ascii="Arial" w:hAnsi="Arial" w:cs="Arial"/>
          <w:sz w:val="20"/>
          <w:szCs w:val="20"/>
          <w:lang w:val="en-US"/>
        </w:rPr>
        <w:t xml:space="preserve">), there is a risk that ETBE makes drinking water resources easily unpalatable. Up to now, limited knowledge exists on sinks of ETBE in the environment. In general, biodegradation of ETBE has been demonstrated by few microorganisms. However, the role of </w:t>
      </w:r>
      <w:r w:rsidRPr="003953D2">
        <w:rPr>
          <w:rFonts w:ascii="Arial" w:hAnsi="Arial" w:cs="Arial"/>
          <w:i/>
          <w:sz w:val="20"/>
          <w:szCs w:val="20"/>
          <w:lang w:val="en-US"/>
        </w:rPr>
        <w:t>in situ</w:t>
      </w:r>
      <w:r w:rsidRPr="003953D2">
        <w:rPr>
          <w:rFonts w:ascii="Arial" w:hAnsi="Arial" w:cs="Arial"/>
          <w:sz w:val="20"/>
          <w:szCs w:val="20"/>
          <w:lang w:val="en-US"/>
        </w:rPr>
        <w:t xml:space="preserve"> biodegradation of ETBE at contaminated field sites </w:t>
      </w:r>
      <w:r w:rsidRPr="003953D2">
        <w:rPr>
          <w:rStyle w:val="Hervorhebung"/>
          <w:rFonts w:ascii="Arial" w:hAnsi="Arial" w:cs="Arial"/>
          <w:i w:val="0"/>
          <w:sz w:val="20"/>
          <w:szCs w:val="20"/>
          <w:lang w:val="en-US"/>
        </w:rPr>
        <w:t>has</w:t>
      </w:r>
      <w:r w:rsidRPr="003953D2">
        <w:rPr>
          <w:rStyle w:val="st"/>
          <w:rFonts w:ascii="Arial" w:hAnsi="Arial" w:cs="Arial"/>
          <w:sz w:val="20"/>
          <w:szCs w:val="20"/>
          <w:lang w:val="en-US"/>
        </w:rPr>
        <w:t xml:space="preserve"> only </w:t>
      </w:r>
      <w:r w:rsidRPr="003953D2">
        <w:rPr>
          <w:rStyle w:val="Hervorhebung"/>
          <w:rFonts w:ascii="Arial" w:hAnsi="Arial" w:cs="Arial"/>
          <w:i w:val="0"/>
          <w:sz w:val="20"/>
          <w:szCs w:val="20"/>
          <w:lang w:val="en-US"/>
        </w:rPr>
        <w:t>scarcely</w:t>
      </w:r>
      <w:r w:rsidRPr="003953D2">
        <w:rPr>
          <w:rStyle w:val="st"/>
          <w:rFonts w:ascii="Arial" w:hAnsi="Arial" w:cs="Arial"/>
          <w:sz w:val="20"/>
          <w:szCs w:val="20"/>
          <w:lang w:val="en-US"/>
        </w:rPr>
        <w:t xml:space="preserve"> been </w:t>
      </w:r>
      <w:r w:rsidRPr="003953D2">
        <w:rPr>
          <w:rStyle w:val="Hervorhebung"/>
          <w:rFonts w:ascii="Arial" w:hAnsi="Arial" w:cs="Arial"/>
          <w:i w:val="0"/>
          <w:sz w:val="20"/>
          <w:szCs w:val="20"/>
          <w:lang w:val="en-US"/>
        </w:rPr>
        <w:t>investigated</w:t>
      </w:r>
      <w:r w:rsidRPr="003953D2">
        <w:rPr>
          <w:rStyle w:val="Hervorhebung"/>
          <w:rFonts w:ascii="Arial" w:hAnsi="Arial" w:cs="Arial"/>
          <w:sz w:val="20"/>
          <w:szCs w:val="20"/>
          <w:lang w:val="en-US"/>
        </w:rPr>
        <w:t xml:space="preserve">. </w:t>
      </w:r>
      <w:r w:rsidRPr="003953D2">
        <w:rPr>
          <w:rFonts w:ascii="Arial" w:hAnsi="Arial" w:cs="Arial"/>
          <w:sz w:val="20"/>
          <w:szCs w:val="20"/>
          <w:lang w:val="en-US"/>
        </w:rPr>
        <w:t xml:space="preserve">In order to increase knowledge on the fate of ETBE after an contamination event, biodegradation of ETBE at a fuel-contaminated field site was assessed using: </w:t>
      </w:r>
      <w:proofErr w:type="spellStart"/>
      <w:r w:rsidRPr="003953D2">
        <w:rPr>
          <w:rFonts w:ascii="Arial" w:hAnsi="Arial" w:cs="Arial"/>
          <w:sz w:val="20"/>
          <w:szCs w:val="20"/>
          <w:lang w:val="en-US"/>
        </w:rPr>
        <w:t>i</w:t>
      </w:r>
      <w:proofErr w:type="spellEnd"/>
      <w:r w:rsidRPr="003953D2">
        <w:rPr>
          <w:rFonts w:ascii="Arial" w:hAnsi="Arial" w:cs="Arial"/>
          <w:sz w:val="20"/>
          <w:szCs w:val="20"/>
          <w:lang w:val="en-US"/>
        </w:rPr>
        <w:t xml:space="preserve">) compound-specific stable isotope analysis (CSIA) and ii) </w:t>
      </w:r>
      <w:r w:rsidRPr="003953D2">
        <w:rPr>
          <w:rFonts w:ascii="Arial" w:hAnsi="Arial" w:cs="Arial"/>
          <w:i/>
          <w:sz w:val="20"/>
          <w:szCs w:val="20"/>
          <w:lang w:val="en-US"/>
        </w:rPr>
        <w:t>in situ</w:t>
      </w:r>
      <w:r w:rsidRPr="003953D2">
        <w:rPr>
          <w:rFonts w:ascii="Arial" w:hAnsi="Arial" w:cs="Arial"/>
          <w:sz w:val="20"/>
          <w:szCs w:val="20"/>
          <w:lang w:val="en-US"/>
        </w:rPr>
        <w:t xml:space="preserve"> microcosms in combination with total lipid fatty a</w:t>
      </w:r>
      <w:bookmarkStart w:id="0" w:name="_GoBack"/>
      <w:bookmarkEnd w:id="0"/>
      <w:r w:rsidRPr="003953D2">
        <w:rPr>
          <w:rFonts w:ascii="Arial" w:hAnsi="Arial" w:cs="Arial"/>
          <w:sz w:val="20"/>
          <w:szCs w:val="20"/>
          <w:lang w:val="en-US"/>
        </w:rPr>
        <w:t>cid (TLFA)-stable isotope probing (SIP).</w:t>
      </w:r>
    </w:p>
    <w:p w:rsidR="00AC4251" w:rsidRPr="00AC4251" w:rsidRDefault="00AC4251" w:rsidP="00AC4251">
      <w:pPr>
        <w:jc w:val="both"/>
        <w:rPr>
          <w:rFonts w:ascii="Arial" w:eastAsia="Calibri" w:hAnsi="Arial" w:cs="Arial"/>
          <w:sz w:val="20"/>
          <w:szCs w:val="20"/>
          <w:lang w:val="en-US" w:eastAsia="en-US"/>
        </w:rPr>
      </w:pPr>
      <w:r w:rsidRPr="00AC4251">
        <w:rPr>
          <w:rFonts w:ascii="Arial" w:eastAsia="Calibri" w:hAnsi="Arial" w:cs="Arial"/>
          <w:sz w:val="20"/>
          <w:szCs w:val="20"/>
          <w:lang w:val="en-US" w:eastAsia="en-US"/>
        </w:rPr>
        <w:t xml:space="preserve">CSIA provides an appropriate tool to assess </w:t>
      </w:r>
      <w:r w:rsidRPr="00AC4251">
        <w:rPr>
          <w:rFonts w:ascii="Arial" w:eastAsia="Calibri" w:hAnsi="Arial" w:cs="Arial"/>
          <w:i/>
          <w:sz w:val="20"/>
          <w:szCs w:val="20"/>
          <w:lang w:val="en-US" w:eastAsia="en-US"/>
        </w:rPr>
        <w:t>in situ</w:t>
      </w:r>
      <w:r w:rsidRPr="00AC4251">
        <w:rPr>
          <w:rFonts w:ascii="Arial" w:eastAsia="Calibri" w:hAnsi="Arial" w:cs="Arial"/>
          <w:sz w:val="20"/>
          <w:szCs w:val="20"/>
          <w:lang w:val="en-US" w:eastAsia="en-US"/>
        </w:rPr>
        <w:t xml:space="preserve"> degradation of contaminants both qualitatively and quantitatively</w:t>
      </w:r>
      <w:r w:rsidR="003953D2">
        <w:rPr>
          <w:rFonts w:ascii="Arial" w:eastAsia="Calibri" w:hAnsi="Arial" w:cs="Arial"/>
          <w:sz w:val="20"/>
          <w:szCs w:val="20"/>
          <w:lang w:val="en-US" w:eastAsia="en-US"/>
        </w:rPr>
        <w:t xml:space="preserve"> </w:t>
      </w:r>
      <w:r w:rsidR="003953D2" w:rsidRPr="001F4812">
        <w:rPr>
          <w:rFonts w:ascii="Arial" w:hAnsi="Arial" w:cs="Arial"/>
          <w:noProof/>
          <w:sz w:val="20"/>
          <w:szCs w:val="20"/>
          <w:lang w:val="fr-FR"/>
        </w:rPr>
        <w:t>(</w:t>
      </w:r>
      <w:r w:rsidR="003953D2">
        <w:rPr>
          <w:rFonts w:ascii="Arial" w:hAnsi="Arial" w:cs="Arial"/>
          <w:smallCaps/>
          <w:noProof/>
          <w:sz w:val="20"/>
          <w:szCs w:val="20"/>
          <w:lang w:val="fr-FR"/>
        </w:rPr>
        <w:t>Meckenstock et al.</w:t>
      </w:r>
      <w:r w:rsidR="003953D2" w:rsidRPr="001F4812">
        <w:rPr>
          <w:rFonts w:ascii="Arial" w:hAnsi="Arial" w:cs="Arial"/>
          <w:noProof/>
          <w:sz w:val="20"/>
          <w:szCs w:val="20"/>
          <w:lang w:val="fr-FR"/>
        </w:rPr>
        <w:t xml:space="preserve"> 200</w:t>
      </w:r>
      <w:r w:rsidR="003953D2">
        <w:rPr>
          <w:rFonts w:ascii="Arial" w:hAnsi="Arial" w:cs="Arial"/>
          <w:noProof/>
          <w:sz w:val="20"/>
          <w:szCs w:val="20"/>
          <w:lang w:val="fr-FR"/>
        </w:rPr>
        <w:t xml:space="preserve">4, </w:t>
      </w:r>
      <w:r w:rsidR="003953D2">
        <w:rPr>
          <w:rFonts w:ascii="Arial" w:hAnsi="Arial" w:cs="Arial"/>
          <w:smallCaps/>
          <w:noProof/>
          <w:sz w:val="20"/>
          <w:szCs w:val="20"/>
          <w:lang w:val="fr-FR"/>
        </w:rPr>
        <w:t>Thullner</w:t>
      </w:r>
      <w:r w:rsidR="003953D2">
        <w:rPr>
          <w:rFonts w:ascii="Arial" w:hAnsi="Arial" w:cs="Arial"/>
          <w:smallCaps/>
          <w:noProof/>
          <w:sz w:val="20"/>
          <w:szCs w:val="20"/>
          <w:lang w:val="fr-FR"/>
        </w:rPr>
        <w:t xml:space="preserve"> et al.</w:t>
      </w:r>
      <w:r w:rsidR="003953D2" w:rsidRPr="001F4812">
        <w:rPr>
          <w:rFonts w:ascii="Arial" w:hAnsi="Arial" w:cs="Arial"/>
          <w:noProof/>
          <w:sz w:val="20"/>
          <w:szCs w:val="20"/>
          <w:lang w:val="fr-FR"/>
        </w:rPr>
        <w:t xml:space="preserve"> 20</w:t>
      </w:r>
      <w:r w:rsidR="003953D2">
        <w:rPr>
          <w:rFonts w:ascii="Arial" w:hAnsi="Arial" w:cs="Arial"/>
          <w:noProof/>
          <w:sz w:val="20"/>
          <w:szCs w:val="20"/>
          <w:lang w:val="fr-FR"/>
        </w:rPr>
        <w:t>10</w:t>
      </w:r>
      <w:r w:rsidR="003953D2" w:rsidRPr="001F4812">
        <w:rPr>
          <w:rFonts w:ascii="Arial" w:hAnsi="Arial" w:cs="Arial"/>
          <w:noProof/>
          <w:sz w:val="20"/>
          <w:szCs w:val="20"/>
          <w:lang w:val="fr-FR"/>
        </w:rPr>
        <w:t>)</w:t>
      </w:r>
      <w:r w:rsidRPr="00AC4251">
        <w:rPr>
          <w:rFonts w:ascii="Arial" w:eastAsia="Calibri" w:hAnsi="Arial" w:cs="Arial"/>
          <w:sz w:val="20"/>
          <w:szCs w:val="20"/>
          <w:lang w:val="en-US" w:eastAsia="en-US"/>
        </w:rPr>
        <w:t xml:space="preserve">. It is based on the principle that molecules with heavier isotopes in their reactive position(s) (e.g., </w:t>
      </w:r>
      <w:r w:rsidRPr="00AC4251">
        <w:rPr>
          <w:rFonts w:ascii="Arial" w:eastAsia="Calibri" w:hAnsi="Arial" w:cs="Arial"/>
          <w:sz w:val="20"/>
          <w:szCs w:val="20"/>
          <w:vertAlign w:val="superscript"/>
          <w:lang w:val="en-US" w:eastAsia="en-US"/>
        </w:rPr>
        <w:t>13</w:t>
      </w:r>
      <w:r w:rsidRPr="00AC4251">
        <w:rPr>
          <w:rFonts w:ascii="Arial" w:eastAsia="Calibri" w:hAnsi="Arial" w:cs="Arial"/>
          <w:sz w:val="20"/>
          <w:szCs w:val="20"/>
          <w:lang w:val="en-US" w:eastAsia="en-US"/>
        </w:rPr>
        <w:t xml:space="preserve">C, </w:t>
      </w:r>
      <w:r w:rsidRPr="00AC4251">
        <w:rPr>
          <w:rFonts w:ascii="Arial" w:eastAsia="Calibri" w:hAnsi="Arial" w:cs="Arial"/>
          <w:sz w:val="20"/>
          <w:szCs w:val="20"/>
          <w:vertAlign w:val="superscript"/>
          <w:lang w:val="en-US" w:eastAsia="en-US"/>
        </w:rPr>
        <w:t>2</w:t>
      </w:r>
      <w:r w:rsidRPr="00AC4251">
        <w:rPr>
          <w:rFonts w:ascii="Arial" w:eastAsia="Calibri" w:hAnsi="Arial" w:cs="Arial"/>
          <w:sz w:val="20"/>
          <w:szCs w:val="20"/>
          <w:lang w:val="en-US" w:eastAsia="en-US"/>
        </w:rPr>
        <w:t xml:space="preserve">H) are generally slower degraded than those with lighter isotopes (e.g., </w:t>
      </w:r>
      <w:r w:rsidRPr="00AC4251">
        <w:rPr>
          <w:rFonts w:ascii="Arial" w:eastAsia="Calibri" w:hAnsi="Arial" w:cs="Arial"/>
          <w:sz w:val="20"/>
          <w:szCs w:val="20"/>
          <w:vertAlign w:val="superscript"/>
          <w:lang w:val="en-US" w:eastAsia="en-US"/>
        </w:rPr>
        <w:t>12</w:t>
      </w:r>
      <w:r w:rsidRPr="00AC4251">
        <w:rPr>
          <w:rFonts w:ascii="Arial" w:eastAsia="Calibri" w:hAnsi="Arial" w:cs="Arial"/>
          <w:sz w:val="20"/>
          <w:szCs w:val="20"/>
          <w:lang w:val="en-US" w:eastAsia="en-US"/>
        </w:rPr>
        <w:t xml:space="preserve">C, </w:t>
      </w:r>
      <w:r w:rsidRPr="00AC4251">
        <w:rPr>
          <w:rFonts w:ascii="Arial" w:eastAsia="Calibri" w:hAnsi="Arial" w:cs="Arial"/>
          <w:sz w:val="20"/>
          <w:szCs w:val="20"/>
          <w:vertAlign w:val="superscript"/>
          <w:lang w:val="en-US" w:eastAsia="en-US"/>
        </w:rPr>
        <w:t>1</w:t>
      </w:r>
      <w:r w:rsidRPr="00AC4251">
        <w:rPr>
          <w:rFonts w:ascii="Arial" w:eastAsia="Calibri" w:hAnsi="Arial" w:cs="Arial"/>
          <w:sz w:val="20"/>
          <w:szCs w:val="20"/>
          <w:lang w:val="en-US" w:eastAsia="en-US"/>
        </w:rPr>
        <w:t xml:space="preserve">H) leading to a shift in the isotope ratio (e.g., </w:t>
      </w:r>
      <w:r w:rsidRPr="00AC4251">
        <w:rPr>
          <w:rFonts w:ascii="Arial" w:eastAsia="Calibri" w:hAnsi="Arial" w:cs="Arial"/>
          <w:sz w:val="20"/>
          <w:szCs w:val="20"/>
          <w:vertAlign w:val="superscript"/>
          <w:lang w:val="en-US" w:eastAsia="en-US"/>
        </w:rPr>
        <w:t>13</w:t>
      </w:r>
      <w:r w:rsidRPr="00AC4251">
        <w:rPr>
          <w:rFonts w:ascii="Arial" w:eastAsia="Calibri" w:hAnsi="Arial" w:cs="Arial"/>
          <w:sz w:val="20"/>
          <w:szCs w:val="20"/>
          <w:lang w:val="en-US" w:eastAsia="en-US"/>
        </w:rPr>
        <w:t>C/</w:t>
      </w:r>
      <w:r w:rsidRPr="00AC4251">
        <w:rPr>
          <w:rFonts w:ascii="Arial" w:eastAsia="Calibri" w:hAnsi="Arial" w:cs="Arial"/>
          <w:sz w:val="20"/>
          <w:szCs w:val="20"/>
          <w:vertAlign w:val="superscript"/>
          <w:lang w:val="en-US" w:eastAsia="en-US"/>
        </w:rPr>
        <w:t>12</w:t>
      </w:r>
      <w:r w:rsidRPr="00AC4251">
        <w:rPr>
          <w:rFonts w:ascii="Arial" w:eastAsia="Calibri" w:hAnsi="Arial" w:cs="Arial"/>
          <w:sz w:val="20"/>
          <w:szCs w:val="20"/>
          <w:lang w:val="en-US" w:eastAsia="en-US"/>
        </w:rPr>
        <w:t xml:space="preserve">C, </w:t>
      </w:r>
      <w:r w:rsidRPr="00AC4251">
        <w:rPr>
          <w:rFonts w:ascii="Arial" w:eastAsia="Calibri" w:hAnsi="Arial" w:cs="Arial"/>
          <w:sz w:val="20"/>
          <w:szCs w:val="20"/>
          <w:vertAlign w:val="superscript"/>
          <w:lang w:val="en-US" w:eastAsia="en-US"/>
        </w:rPr>
        <w:t>2</w:t>
      </w:r>
      <w:r w:rsidRPr="00AC4251">
        <w:rPr>
          <w:rFonts w:ascii="Arial" w:eastAsia="Calibri" w:hAnsi="Arial" w:cs="Arial"/>
          <w:sz w:val="20"/>
          <w:szCs w:val="20"/>
          <w:lang w:val="en-US" w:eastAsia="en-US"/>
        </w:rPr>
        <w:t>H/</w:t>
      </w:r>
      <w:r w:rsidRPr="00AC4251">
        <w:rPr>
          <w:rFonts w:ascii="Arial" w:eastAsia="Calibri" w:hAnsi="Arial" w:cs="Arial"/>
          <w:sz w:val="20"/>
          <w:szCs w:val="20"/>
          <w:vertAlign w:val="superscript"/>
          <w:lang w:val="en-US" w:eastAsia="en-US"/>
        </w:rPr>
        <w:t>1</w:t>
      </w:r>
      <w:r w:rsidRPr="00AC4251">
        <w:rPr>
          <w:rFonts w:ascii="Arial" w:eastAsia="Calibri" w:hAnsi="Arial" w:cs="Arial"/>
          <w:sz w:val="20"/>
          <w:szCs w:val="20"/>
          <w:lang w:val="en-US" w:eastAsia="en-US"/>
        </w:rPr>
        <w:t xml:space="preserve">H) as the remaining contaminant fractions becomes progressively enriched in heavier isotopes (e.g., </w:t>
      </w:r>
      <w:r w:rsidRPr="00AC4251">
        <w:rPr>
          <w:rFonts w:ascii="Arial" w:eastAsia="Calibri" w:hAnsi="Arial" w:cs="Arial"/>
          <w:sz w:val="20"/>
          <w:szCs w:val="20"/>
          <w:vertAlign w:val="superscript"/>
          <w:lang w:val="en-US" w:eastAsia="en-US"/>
        </w:rPr>
        <w:t>13</w:t>
      </w:r>
      <w:r w:rsidRPr="00AC4251">
        <w:rPr>
          <w:rFonts w:ascii="Arial" w:eastAsia="Calibri" w:hAnsi="Arial" w:cs="Arial"/>
          <w:sz w:val="20"/>
          <w:szCs w:val="20"/>
          <w:lang w:val="en-US" w:eastAsia="en-US"/>
        </w:rPr>
        <w:t xml:space="preserve">C, </w:t>
      </w:r>
      <w:r w:rsidRPr="00AC4251">
        <w:rPr>
          <w:rFonts w:ascii="Arial" w:eastAsia="Calibri" w:hAnsi="Arial" w:cs="Arial"/>
          <w:sz w:val="20"/>
          <w:szCs w:val="20"/>
          <w:vertAlign w:val="superscript"/>
          <w:lang w:val="en-US" w:eastAsia="en-US"/>
        </w:rPr>
        <w:t>2</w:t>
      </w:r>
      <w:r w:rsidRPr="00AC4251">
        <w:rPr>
          <w:rFonts w:ascii="Arial" w:eastAsia="Calibri" w:hAnsi="Arial" w:cs="Arial"/>
          <w:sz w:val="20"/>
          <w:szCs w:val="20"/>
          <w:lang w:val="en-US" w:eastAsia="en-US"/>
        </w:rPr>
        <w:t>H). Within the contaminated aquifer of the investigated field site, CSIA exhibited insignificant changes in carbon isotope ratios (</w:t>
      </w:r>
      <w:r w:rsidRPr="00AC4251">
        <w:rPr>
          <w:rFonts w:ascii="Arial" w:eastAsia="Calibri" w:hAnsi="Arial" w:cs="Arial"/>
          <w:sz w:val="20"/>
          <w:szCs w:val="20"/>
          <w:vertAlign w:val="superscript"/>
          <w:lang w:val="en-US" w:eastAsia="en-US"/>
        </w:rPr>
        <w:t>13</w:t>
      </w:r>
      <w:r w:rsidRPr="00AC4251">
        <w:rPr>
          <w:rFonts w:ascii="Arial" w:eastAsia="Calibri" w:hAnsi="Arial" w:cs="Arial"/>
          <w:sz w:val="20"/>
          <w:szCs w:val="20"/>
          <w:lang w:val="en-US" w:eastAsia="en-US"/>
        </w:rPr>
        <w:t>C/</w:t>
      </w:r>
      <w:r w:rsidRPr="00AC4251">
        <w:rPr>
          <w:rFonts w:ascii="Arial" w:eastAsia="Calibri" w:hAnsi="Arial" w:cs="Arial"/>
          <w:sz w:val="20"/>
          <w:szCs w:val="20"/>
          <w:vertAlign w:val="superscript"/>
          <w:lang w:val="en-US" w:eastAsia="en-US"/>
        </w:rPr>
        <w:t>12</w:t>
      </w:r>
      <w:r w:rsidRPr="00AC4251">
        <w:rPr>
          <w:rFonts w:ascii="Arial" w:eastAsia="Calibri" w:hAnsi="Arial" w:cs="Arial"/>
          <w:sz w:val="20"/>
          <w:szCs w:val="20"/>
          <w:lang w:val="en-US" w:eastAsia="en-US"/>
        </w:rPr>
        <w:t xml:space="preserve">C) but low hydrogen isotope fractionation (up to +14 ‰ difference in </w:t>
      </w:r>
      <w:r w:rsidRPr="00AC4251">
        <w:rPr>
          <w:rFonts w:ascii="Arial" w:eastAsia="Calibri" w:hAnsi="Arial" w:cs="Arial"/>
          <w:sz w:val="20"/>
          <w:szCs w:val="20"/>
          <w:vertAlign w:val="superscript"/>
          <w:lang w:val="en-US" w:eastAsia="en-US"/>
        </w:rPr>
        <w:t>2</w:t>
      </w:r>
      <w:r w:rsidRPr="00AC4251">
        <w:rPr>
          <w:rFonts w:ascii="Arial" w:eastAsia="Calibri" w:hAnsi="Arial" w:cs="Arial"/>
          <w:sz w:val="20"/>
          <w:szCs w:val="20"/>
          <w:lang w:val="en-US" w:eastAsia="en-US"/>
        </w:rPr>
        <w:t>H/</w:t>
      </w:r>
      <w:r w:rsidRPr="00AC4251">
        <w:rPr>
          <w:rFonts w:ascii="Arial" w:eastAsia="Calibri" w:hAnsi="Arial" w:cs="Arial"/>
          <w:sz w:val="20"/>
          <w:szCs w:val="20"/>
          <w:vertAlign w:val="superscript"/>
          <w:lang w:val="en-US" w:eastAsia="en-US"/>
        </w:rPr>
        <w:t>1</w:t>
      </w:r>
      <w:r w:rsidRPr="00AC4251">
        <w:rPr>
          <w:rFonts w:ascii="Arial" w:eastAsia="Calibri" w:hAnsi="Arial" w:cs="Arial"/>
          <w:sz w:val="20"/>
          <w:szCs w:val="20"/>
          <w:lang w:val="en-US" w:eastAsia="en-US"/>
        </w:rPr>
        <w:t xml:space="preserve">H ratios) of ETBE, indicating biodegradation of ETBE along the prevailing anoxic contaminant plume. </w:t>
      </w:r>
    </w:p>
    <w:p w:rsidR="00AC4251" w:rsidRPr="00AC4251" w:rsidRDefault="00AC4251" w:rsidP="00AC4251">
      <w:pPr>
        <w:jc w:val="both"/>
        <w:rPr>
          <w:rFonts w:ascii="Arial" w:eastAsia="Calibri" w:hAnsi="Arial" w:cs="Arial"/>
          <w:sz w:val="20"/>
          <w:szCs w:val="20"/>
          <w:lang w:val="en-US" w:eastAsia="en-US"/>
        </w:rPr>
      </w:pPr>
      <w:r w:rsidRPr="00AC4251">
        <w:rPr>
          <w:rFonts w:ascii="Arial" w:eastAsia="Calibri" w:hAnsi="Arial" w:cs="Arial"/>
          <w:sz w:val="20"/>
          <w:szCs w:val="20"/>
          <w:lang w:val="en-US" w:eastAsia="en-US"/>
        </w:rPr>
        <w:t xml:space="preserve">In order to stimulate the biodegradation of petroleum hydrocarbons (PH) at the field site, oxygen was injected ten months after the CSIA monitoring campaign. During this remediation measure, the biodegradation of ETBE was assessed using </w:t>
      </w:r>
      <w:r w:rsidRPr="00AC4251">
        <w:rPr>
          <w:rFonts w:ascii="Arial" w:eastAsia="Calibri" w:hAnsi="Arial" w:cs="Arial"/>
          <w:i/>
          <w:sz w:val="20"/>
          <w:szCs w:val="20"/>
          <w:lang w:val="en-US" w:eastAsia="en-US"/>
        </w:rPr>
        <w:t>in situ</w:t>
      </w:r>
      <w:r w:rsidRPr="00AC4251">
        <w:rPr>
          <w:rFonts w:ascii="Arial" w:eastAsia="Calibri" w:hAnsi="Arial" w:cs="Arial"/>
          <w:sz w:val="20"/>
          <w:szCs w:val="20"/>
          <w:lang w:val="en-US" w:eastAsia="en-US"/>
        </w:rPr>
        <w:t xml:space="preserve"> microcosms (BACTRAP</w:t>
      </w:r>
      <w:r w:rsidRPr="00AC4251">
        <w:rPr>
          <w:rFonts w:ascii="Arial" w:eastAsia="Calibri" w:hAnsi="Arial" w:cs="Arial"/>
          <w:sz w:val="20"/>
          <w:szCs w:val="20"/>
          <w:vertAlign w:val="superscript"/>
          <w:lang w:val="en-US" w:eastAsia="en-US"/>
        </w:rPr>
        <w:t>®</w:t>
      </w:r>
      <w:r w:rsidRPr="00AC4251">
        <w:rPr>
          <w:rFonts w:ascii="Arial" w:eastAsia="Calibri" w:hAnsi="Arial" w:cs="Arial"/>
          <w:sz w:val="20"/>
          <w:szCs w:val="20"/>
          <w:lang w:val="en-US" w:eastAsia="en-US"/>
        </w:rPr>
        <w:t xml:space="preserve">s) in combination with TLFA-SIP (for review see </w:t>
      </w:r>
      <w:r w:rsidR="003953D2">
        <w:rPr>
          <w:rFonts w:ascii="Arial" w:hAnsi="Arial" w:cs="Arial"/>
          <w:smallCaps/>
          <w:noProof/>
          <w:sz w:val="20"/>
          <w:szCs w:val="20"/>
          <w:lang w:val="fr-FR"/>
        </w:rPr>
        <w:t>Bombach</w:t>
      </w:r>
      <w:r w:rsidR="003953D2">
        <w:rPr>
          <w:rFonts w:ascii="Arial" w:hAnsi="Arial" w:cs="Arial"/>
          <w:smallCaps/>
          <w:noProof/>
          <w:sz w:val="20"/>
          <w:szCs w:val="20"/>
          <w:lang w:val="fr-FR"/>
        </w:rPr>
        <w:t xml:space="preserve"> et al.</w:t>
      </w:r>
      <w:r w:rsidR="003953D2" w:rsidRPr="001F4812">
        <w:rPr>
          <w:rFonts w:ascii="Arial" w:hAnsi="Arial" w:cs="Arial"/>
          <w:noProof/>
          <w:sz w:val="20"/>
          <w:szCs w:val="20"/>
          <w:lang w:val="fr-FR"/>
        </w:rPr>
        <w:t xml:space="preserve"> 20</w:t>
      </w:r>
      <w:r w:rsidR="003953D2">
        <w:rPr>
          <w:rFonts w:ascii="Arial" w:hAnsi="Arial" w:cs="Arial"/>
          <w:noProof/>
          <w:sz w:val="20"/>
          <w:szCs w:val="20"/>
          <w:lang w:val="fr-FR"/>
        </w:rPr>
        <w:t>10</w:t>
      </w:r>
      <w:r w:rsidRPr="00AC4251">
        <w:rPr>
          <w:rFonts w:ascii="Arial" w:eastAsia="Calibri" w:hAnsi="Arial" w:cs="Arial"/>
          <w:sz w:val="20"/>
          <w:szCs w:val="20"/>
          <w:lang w:val="en-US" w:eastAsia="en-US"/>
        </w:rPr>
        <w:t xml:space="preserve"> and for more details about this study </w:t>
      </w:r>
      <w:r w:rsidR="003953D2">
        <w:rPr>
          <w:rFonts w:ascii="Arial" w:hAnsi="Arial" w:cs="Arial"/>
          <w:smallCaps/>
          <w:noProof/>
          <w:sz w:val="20"/>
          <w:szCs w:val="20"/>
          <w:lang w:val="fr-FR"/>
        </w:rPr>
        <w:t>Bombach et al.</w:t>
      </w:r>
      <w:r w:rsidR="003953D2" w:rsidRPr="001F4812">
        <w:rPr>
          <w:rFonts w:ascii="Arial" w:hAnsi="Arial" w:cs="Arial"/>
          <w:noProof/>
          <w:sz w:val="20"/>
          <w:szCs w:val="20"/>
          <w:lang w:val="fr-FR"/>
        </w:rPr>
        <w:t xml:space="preserve"> 20</w:t>
      </w:r>
      <w:r w:rsidR="003953D2">
        <w:rPr>
          <w:rFonts w:ascii="Arial" w:hAnsi="Arial" w:cs="Arial"/>
          <w:noProof/>
          <w:sz w:val="20"/>
          <w:szCs w:val="20"/>
          <w:lang w:val="fr-FR"/>
        </w:rPr>
        <w:t>15</w:t>
      </w:r>
      <w:r w:rsidRPr="00AC4251">
        <w:rPr>
          <w:rFonts w:ascii="Arial" w:eastAsia="Calibri" w:hAnsi="Arial" w:cs="Arial"/>
          <w:sz w:val="20"/>
          <w:szCs w:val="20"/>
          <w:lang w:val="en-US" w:eastAsia="en-US"/>
        </w:rPr>
        <w:t>). BACTRAP</w:t>
      </w:r>
      <w:r w:rsidRPr="00AC4251">
        <w:rPr>
          <w:rFonts w:ascii="Arial" w:eastAsia="Calibri" w:hAnsi="Arial" w:cs="Arial"/>
          <w:sz w:val="20"/>
          <w:szCs w:val="20"/>
          <w:vertAlign w:val="superscript"/>
          <w:lang w:val="en-US" w:eastAsia="en-US"/>
        </w:rPr>
        <w:t>®</w:t>
      </w:r>
      <w:r w:rsidRPr="00AC4251">
        <w:rPr>
          <w:rFonts w:ascii="Arial" w:eastAsia="Calibri" w:hAnsi="Arial" w:cs="Arial"/>
          <w:sz w:val="20"/>
          <w:szCs w:val="20"/>
          <w:lang w:val="en-US" w:eastAsia="en-US"/>
        </w:rPr>
        <w:t xml:space="preserve">s </w:t>
      </w:r>
      <w:r w:rsidRPr="00AC4251">
        <w:rPr>
          <w:rFonts w:ascii="Arial" w:eastAsia="Batang" w:hAnsi="Arial" w:cs="Arial"/>
          <w:sz w:val="20"/>
          <w:szCs w:val="20"/>
          <w:lang w:val="en-US" w:eastAsia="en-US"/>
        </w:rPr>
        <w:t xml:space="preserve">loaded with </w:t>
      </w:r>
      <w:r w:rsidRPr="00AC4251">
        <w:rPr>
          <w:rFonts w:ascii="Arial" w:eastAsia="Calibri" w:hAnsi="Arial" w:cs="Arial"/>
          <w:sz w:val="20"/>
          <w:szCs w:val="20"/>
          <w:vertAlign w:val="superscript"/>
          <w:lang w:val="en-US" w:eastAsia="en-US"/>
        </w:rPr>
        <w:t>13</w:t>
      </w:r>
      <w:r w:rsidRPr="00AC4251">
        <w:rPr>
          <w:rFonts w:ascii="Arial" w:eastAsia="Calibri" w:hAnsi="Arial" w:cs="Arial"/>
          <w:sz w:val="20"/>
          <w:szCs w:val="20"/>
          <w:lang w:val="en-US" w:eastAsia="en-US"/>
        </w:rPr>
        <w:t>C-labelled ETBE were exposed for 119 days in selected groundwater wells with the following conditions: (</w:t>
      </w:r>
      <w:proofErr w:type="spellStart"/>
      <w:r w:rsidRPr="00AC4251">
        <w:rPr>
          <w:rFonts w:ascii="Arial" w:eastAsia="Calibri" w:hAnsi="Arial" w:cs="Arial"/>
          <w:sz w:val="20"/>
          <w:szCs w:val="20"/>
          <w:lang w:val="en-US" w:eastAsia="en-US"/>
        </w:rPr>
        <w:t>i</w:t>
      </w:r>
      <w:proofErr w:type="spellEnd"/>
      <w:r w:rsidRPr="00AC4251">
        <w:rPr>
          <w:rFonts w:ascii="Arial" w:eastAsia="Calibri" w:hAnsi="Arial" w:cs="Arial"/>
          <w:sz w:val="20"/>
          <w:szCs w:val="20"/>
          <w:lang w:val="en-US" w:eastAsia="en-US"/>
        </w:rPr>
        <w:t>) ETBE as main contaminant; (ii) ETBE as main contaminant subjected to oxygen injection; (iii) ETBE plus other petroleum hydrocarbons (PH); (iv) ETBE plus other PH subjected to oxygen injection. Under all conditions, fatty acids extracted from BACTRAP</w:t>
      </w:r>
      <w:r w:rsidRPr="00AC4251">
        <w:rPr>
          <w:rFonts w:ascii="Arial" w:eastAsia="Calibri" w:hAnsi="Arial" w:cs="Arial"/>
          <w:sz w:val="20"/>
          <w:szCs w:val="20"/>
          <w:vertAlign w:val="superscript"/>
          <w:lang w:val="en-US" w:eastAsia="en-US"/>
        </w:rPr>
        <w:t>®</w:t>
      </w:r>
      <w:r w:rsidRPr="00AC4251">
        <w:rPr>
          <w:rFonts w:ascii="Arial" w:eastAsia="Calibri" w:hAnsi="Arial" w:cs="Arial"/>
          <w:sz w:val="20"/>
          <w:szCs w:val="20"/>
          <w:lang w:val="en-US" w:eastAsia="en-US"/>
        </w:rPr>
        <w:t xml:space="preserve">s were significantly enriched in </w:t>
      </w:r>
      <w:r w:rsidRPr="00AC4251">
        <w:rPr>
          <w:rFonts w:ascii="Arial" w:eastAsia="Calibri" w:hAnsi="Arial" w:cs="Arial"/>
          <w:sz w:val="20"/>
          <w:szCs w:val="20"/>
          <w:vertAlign w:val="superscript"/>
          <w:lang w:val="en-US" w:eastAsia="en-US"/>
        </w:rPr>
        <w:t>13</w:t>
      </w:r>
      <w:r w:rsidRPr="00AC4251">
        <w:rPr>
          <w:rFonts w:ascii="Arial" w:eastAsia="Calibri" w:hAnsi="Arial" w:cs="Arial"/>
          <w:sz w:val="20"/>
          <w:szCs w:val="20"/>
          <w:lang w:val="en-US" w:eastAsia="en-US"/>
        </w:rPr>
        <w:t xml:space="preserve">C, providing clear evidence of ETBE biodegradation at the field site. Since </w:t>
      </w:r>
      <w:proofErr w:type="spellStart"/>
      <w:r w:rsidRPr="00AC4251">
        <w:rPr>
          <w:rFonts w:ascii="Arial" w:eastAsia="Calibri" w:hAnsi="Arial" w:cs="Arial"/>
          <w:sz w:val="20"/>
          <w:szCs w:val="20"/>
          <w:lang w:val="en-US" w:eastAsia="en-US"/>
        </w:rPr>
        <w:t>oxic</w:t>
      </w:r>
      <w:proofErr w:type="spellEnd"/>
      <w:r w:rsidRPr="00AC4251">
        <w:rPr>
          <w:rFonts w:ascii="Arial" w:eastAsia="Calibri" w:hAnsi="Arial" w:cs="Arial"/>
          <w:sz w:val="20"/>
          <w:szCs w:val="20"/>
          <w:lang w:val="en-US" w:eastAsia="en-US"/>
        </w:rPr>
        <w:t xml:space="preserve"> and anoxic conditions were present at the wells of the BACTRAP-study, aerobic and anaerobic degradation of ETBE could be expected at the field site. </w:t>
      </w:r>
    </w:p>
    <w:p w:rsidR="00AC4251" w:rsidRPr="00AC4251" w:rsidRDefault="00AC4251" w:rsidP="00AC4251">
      <w:pPr>
        <w:jc w:val="both"/>
        <w:rPr>
          <w:rFonts w:ascii="Arial" w:eastAsia="Calibri" w:hAnsi="Arial" w:cs="Arial"/>
          <w:sz w:val="20"/>
          <w:szCs w:val="20"/>
          <w:u w:val="single"/>
          <w:lang w:val="en-US" w:eastAsia="en-US"/>
        </w:rPr>
      </w:pPr>
    </w:p>
    <w:p w:rsidR="00AC4251" w:rsidRPr="00AC4251" w:rsidRDefault="00AC4251" w:rsidP="00AC4251">
      <w:pPr>
        <w:ind w:left="720" w:hanging="720"/>
        <w:jc w:val="both"/>
        <w:rPr>
          <w:rFonts w:ascii="Arial" w:eastAsia="Calibri" w:hAnsi="Arial" w:cs="Arial"/>
          <w:noProof/>
          <w:sz w:val="20"/>
          <w:szCs w:val="20"/>
          <w:lang w:val="en-US" w:eastAsia="en-US"/>
        </w:rPr>
      </w:pPr>
      <w:r w:rsidRPr="00AC4251">
        <w:rPr>
          <w:rFonts w:ascii="Arial" w:eastAsia="Calibri" w:hAnsi="Arial" w:cs="Arial"/>
          <w:sz w:val="20"/>
          <w:szCs w:val="20"/>
          <w:lang w:val="en-US" w:eastAsia="en-US"/>
        </w:rPr>
        <w:fldChar w:fldCharType="begin"/>
      </w:r>
      <w:r w:rsidRPr="00AC4251">
        <w:rPr>
          <w:rFonts w:ascii="Arial" w:eastAsia="Calibri" w:hAnsi="Arial" w:cs="Arial"/>
          <w:sz w:val="20"/>
          <w:szCs w:val="20"/>
          <w:lang w:val="en-US" w:eastAsia="en-US"/>
        </w:rPr>
        <w:instrText xml:space="preserve"> ADDIN EN.REFLIST </w:instrText>
      </w:r>
      <w:r w:rsidRPr="00AC4251">
        <w:rPr>
          <w:rFonts w:ascii="Arial" w:eastAsia="Calibri" w:hAnsi="Arial" w:cs="Arial"/>
          <w:sz w:val="20"/>
          <w:szCs w:val="20"/>
          <w:lang w:val="en-US" w:eastAsia="en-US"/>
        </w:rPr>
        <w:fldChar w:fldCharType="separate"/>
      </w:r>
      <w:bookmarkStart w:id="1" w:name="_ENREF_2"/>
      <w:r w:rsidRPr="00AC4251">
        <w:rPr>
          <w:rFonts w:ascii="Arial" w:eastAsia="Calibri" w:hAnsi="Arial" w:cs="Arial"/>
          <w:noProof/>
          <w:sz w:val="20"/>
          <w:szCs w:val="20"/>
          <w:lang w:val="en-US" w:eastAsia="en-US"/>
        </w:rPr>
        <w:t>R.U. Meckenstock, B. Morasch, C. Griebler, H.H. Richnow, Stable isotope fractionation analysis as a tool to monitor biodegradation in contaminated aquifers, J. Contam. Hydrol., 75 (2004) 215-255.</w:t>
      </w:r>
    </w:p>
    <w:bookmarkEnd w:id="1"/>
    <w:p w:rsidR="00AC4251" w:rsidRPr="00AC4251" w:rsidRDefault="00AC4251" w:rsidP="00AC4251">
      <w:pPr>
        <w:ind w:left="720" w:hanging="720"/>
        <w:jc w:val="both"/>
        <w:rPr>
          <w:rFonts w:ascii="Arial" w:eastAsia="Calibri" w:hAnsi="Arial" w:cs="Arial"/>
          <w:noProof/>
          <w:sz w:val="20"/>
          <w:szCs w:val="20"/>
          <w:lang w:val="en-US" w:eastAsia="en-US"/>
        </w:rPr>
      </w:pPr>
      <w:r w:rsidRPr="00AC4251">
        <w:rPr>
          <w:rFonts w:ascii="Arial" w:eastAsia="Calibri" w:hAnsi="Arial" w:cs="Arial"/>
          <w:noProof/>
          <w:sz w:val="20"/>
          <w:szCs w:val="20"/>
          <w:lang w:val="en-US" w:eastAsia="en-US"/>
        </w:rPr>
        <w:t>M. Thullner, F. Centler, H.H. Richnow, A. Fischer, Quantification of organic pollutant degradation in contaminated aquifers using compound specific stable isotope analysis - review of recent developments, Org. Geochem., 42 (2012) 1440-1460.</w:t>
      </w:r>
    </w:p>
    <w:p w:rsidR="00AC4251" w:rsidRPr="00AC4251" w:rsidRDefault="00AC4251" w:rsidP="00AC4251">
      <w:pPr>
        <w:ind w:left="720" w:hanging="720"/>
        <w:jc w:val="both"/>
        <w:rPr>
          <w:rFonts w:ascii="Arial" w:eastAsia="Calibri" w:hAnsi="Arial" w:cs="Arial"/>
          <w:noProof/>
          <w:sz w:val="20"/>
          <w:szCs w:val="20"/>
          <w:lang w:val="en-US" w:eastAsia="en-US"/>
        </w:rPr>
      </w:pPr>
      <w:r w:rsidRPr="00AC4251">
        <w:rPr>
          <w:rFonts w:ascii="Arial" w:eastAsia="Calibri" w:hAnsi="Arial" w:cs="Arial"/>
          <w:noProof/>
          <w:sz w:val="20"/>
          <w:szCs w:val="20"/>
          <w:lang w:val="en-US" w:eastAsia="en-US"/>
        </w:rPr>
        <w:t>P. Bombach, H.H. Richnow, M. Kästner, A. Fischer, Current approaches for the assessment of in situ biodegradation, Appl. Microbiol. Biotechnol., 86 (2010) 839-852.</w:t>
      </w:r>
    </w:p>
    <w:p w:rsidR="00AC4251" w:rsidRPr="00AC4251" w:rsidRDefault="00AC4251" w:rsidP="00AC4251">
      <w:pPr>
        <w:ind w:left="720" w:hanging="720"/>
        <w:jc w:val="both"/>
        <w:rPr>
          <w:rFonts w:ascii="Arial" w:eastAsia="Calibri" w:hAnsi="Arial" w:cs="Arial"/>
          <w:noProof/>
          <w:sz w:val="20"/>
          <w:szCs w:val="20"/>
          <w:lang w:val="en-US" w:eastAsia="en-US"/>
        </w:rPr>
      </w:pPr>
      <w:r w:rsidRPr="00AC4251">
        <w:rPr>
          <w:rFonts w:ascii="Arial" w:eastAsia="Calibri" w:hAnsi="Arial" w:cs="Arial"/>
          <w:noProof/>
          <w:sz w:val="20"/>
          <w:szCs w:val="20"/>
          <w:lang w:val="en-US" w:eastAsia="en-US"/>
        </w:rPr>
        <w:t>P. Bombach, N. Nägele, M. Rosell, H.H. Richnow, A. Fischer, Evaluation of ethyl tert-butyl ether biodegradation in a contaminated aquifer by compound-specific isotope analysis and in situ microcosms, J. Hazard. Mater., 286 (2015) 100–106.</w:t>
      </w:r>
    </w:p>
    <w:p w:rsidR="00AC4251" w:rsidRPr="00AC4251" w:rsidRDefault="00AC4251" w:rsidP="00AC4251">
      <w:pPr>
        <w:jc w:val="both"/>
        <w:rPr>
          <w:rFonts w:ascii="Arial" w:eastAsia="Calibri" w:hAnsi="Arial" w:cs="Arial"/>
          <w:noProof/>
          <w:sz w:val="20"/>
          <w:szCs w:val="20"/>
          <w:lang w:val="en-US" w:eastAsia="en-US"/>
        </w:rPr>
      </w:pPr>
    </w:p>
    <w:p w:rsidR="003953D2" w:rsidRDefault="00AC4251">
      <w:pPr>
        <w:jc w:val="both"/>
        <w:rPr>
          <w:rFonts w:ascii="Arial" w:hAnsi="Arial" w:cs="Arial"/>
          <w:noProof/>
          <w:sz w:val="20"/>
          <w:szCs w:val="20"/>
          <w:lang w:val="fr-FR"/>
        </w:rPr>
      </w:pPr>
      <w:r w:rsidRPr="00AC4251">
        <w:rPr>
          <w:rFonts w:ascii="Arial" w:eastAsia="Calibri" w:hAnsi="Arial" w:cs="Arial"/>
          <w:sz w:val="20"/>
          <w:szCs w:val="20"/>
          <w:lang w:val="en-US" w:eastAsia="en-US"/>
        </w:rPr>
        <w:fldChar w:fldCharType="end"/>
      </w:r>
    </w:p>
    <w:sectPr w:rsidR="003953D2"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40"/>
    <w:rsid w:val="000F7DDD"/>
    <w:rsid w:val="001A6F72"/>
    <w:rsid w:val="001F4812"/>
    <w:rsid w:val="00241318"/>
    <w:rsid w:val="003953D2"/>
    <w:rsid w:val="00455675"/>
    <w:rsid w:val="00455DBB"/>
    <w:rsid w:val="004B2CE5"/>
    <w:rsid w:val="004F3F40"/>
    <w:rsid w:val="00536439"/>
    <w:rsid w:val="008B33AE"/>
    <w:rsid w:val="008C47B6"/>
    <w:rsid w:val="008E1BB9"/>
    <w:rsid w:val="009B473C"/>
    <w:rsid w:val="00A34C75"/>
    <w:rsid w:val="00A377E4"/>
    <w:rsid w:val="00A4450B"/>
    <w:rsid w:val="00AC4251"/>
    <w:rsid w:val="00B10E8D"/>
    <w:rsid w:val="00BB51C3"/>
    <w:rsid w:val="00C22D80"/>
    <w:rsid w:val="00C54F4B"/>
    <w:rsid w:val="00D2223F"/>
    <w:rsid w:val="00DF6705"/>
    <w:rsid w:val="00E05237"/>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E4DD7E-0432-41FF-A07D-4902750D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6705"/>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character" w:customStyle="1" w:styleId="st">
    <w:name w:val="st"/>
    <w:basedOn w:val="Absatz-Standardschriftart"/>
    <w:rsid w:val="003953D2"/>
  </w:style>
  <w:style w:type="character" w:styleId="Hervorhebung">
    <w:name w:val="Emphasis"/>
    <w:basedOn w:val="Absatz-Standardschriftart"/>
    <w:uiPriority w:val="20"/>
    <w:qFormat/>
    <w:rsid w:val="003953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rbertnagele@kepler.es" TargetMode="External"/><Relationship Id="rId3" Type="http://schemas.openxmlformats.org/officeDocument/2006/relationships/webSettings" Target="webSettings.xml"/><Relationship Id="rId7" Type="http://schemas.openxmlformats.org/officeDocument/2006/relationships/hyperlink" Target="mailto:fischer@isodetec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ra.bomach@isodetect.de" TargetMode="External"/><Relationship Id="rId11" Type="http://schemas.openxmlformats.org/officeDocument/2006/relationships/theme" Target="theme/theme1.xml"/><Relationship Id="rId5" Type="http://schemas.openxmlformats.org/officeDocument/2006/relationships/hyperlink" Target="mailto:cesar@kaiser.de" TargetMode="External"/><Relationship Id="rId10" Type="http://schemas.openxmlformats.org/officeDocument/2006/relationships/fontTable" Target="fontTable.xml"/><Relationship Id="rId4" Type="http://schemas.openxmlformats.org/officeDocument/2006/relationships/hyperlink" Target="mailto:hans.richnow@ufz.de" TargetMode="External"/><Relationship Id="rId9" Type="http://schemas.openxmlformats.org/officeDocument/2006/relationships/hyperlink" Target="mailto:monica.rosell@ub.edu"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741</Words>
  <Characters>4224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
  <LinksUpToDate>false</LinksUpToDate>
  <CharactersWithSpaces>4956</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Anko Fischer</cp:lastModifiedBy>
  <cp:revision>2</cp:revision>
  <dcterms:created xsi:type="dcterms:W3CDTF">2015-05-20T18:41:00Z</dcterms:created>
  <dcterms:modified xsi:type="dcterms:W3CDTF">2015-05-20T18:41:00Z</dcterms:modified>
</cp:coreProperties>
</file>