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5" w:rsidRPr="000F7DDD" w:rsidRDefault="00B833DA" w:rsidP="00DF6705">
      <w:pPr>
        <w:spacing w:after="12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Monitoring </w:t>
      </w:r>
      <w:r w:rsidR="00221F86">
        <w:rPr>
          <w:rFonts w:ascii="Arial" w:hAnsi="Arial" w:cs="Arial"/>
          <w:b/>
          <w:noProof/>
          <w:sz w:val="28"/>
          <w:szCs w:val="28"/>
          <w:lang w:val="fr-FR"/>
        </w:rPr>
        <w:t>emerging contaminants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 in wastewaters and the environment: The catchment approach 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A34C75" w:rsidRDefault="00221F86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BRUCE PETRIE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BARBARA KASPRZYK-HORDERN</w:t>
      </w:r>
      <w:r>
        <w:rPr>
          <w:rFonts w:ascii="Arial" w:hAnsi="Arial" w:cs="Arial"/>
          <w:smallCaps/>
          <w:noProof/>
          <w:vertAlign w:val="superscript"/>
          <w:lang w:val="en-US"/>
        </w:rPr>
        <w:t>2</w:t>
      </w:r>
    </w:p>
    <w:p w:rsidR="00DF6705" w:rsidRPr="000F7DDD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221F86">
        <w:rPr>
          <w:rFonts w:ascii="Arial" w:hAnsi="Arial" w:cs="Arial"/>
          <w:noProof/>
          <w:sz w:val="18"/>
          <w:szCs w:val="18"/>
        </w:rPr>
        <w:t>Department of Chemistry, University of Bath, UK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 </w:t>
      </w:r>
      <w:hyperlink r:id="rId4" w:history="1">
        <w:r w:rsidR="00221F86" w:rsidRPr="008E4B27">
          <w:rPr>
            <w:rStyle w:val="Hyperlink"/>
            <w:rFonts w:ascii="Arial" w:hAnsi="Arial" w:cs="Arial"/>
            <w:noProof/>
            <w:sz w:val="18"/>
            <w:szCs w:val="18"/>
          </w:rPr>
          <w:t>b.petrie@bath.ac.uk</w:t>
        </w:r>
      </w:hyperlink>
    </w:p>
    <w:p w:rsidR="00DF6705" w:rsidRPr="000F7DDD" w:rsidRDefault="00DF6705" w:rsidP="00DF6705">
      <w:pPr>
        <w:spacing w:after="120"/>
        <w:rPr>
          <w:rFonts w:ascii="Arial" w:hAnsi="Arial" w:cs="Arial"/>
          <w:noProof/>
          <w:sz w:val="18"/>
          <w:szCs w:val="18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221F86">
        <w:rPr>
          <w:rFonts w:ascii="Arial" w:hAnsi="Arial" w:cs="Arial"/>
          <w:noProof/>
          <w:sz w:val="18"/>
          <w:szCs w:val="18"/>
        </w:rPr>
        <w:t>Department of Chemistry, University of Bath, UK.</w:t>
      </w:r>
    </w:p>
    <w:p w:rsidR="00241318" w:rsidRDefault="00241318"/>
    <w:p w:rsidR="00B833DA" w:rsidRDefault="004B591F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US"/>
        </w:rPr>
        <w:t>The presence of emerging contaminants (</w:t>
      </w:r>
      <w:r w:rsidR="007C7E09">
        <w:rPr>
          <w:rFonts w:ascii="Arial" w:hAnsi="Arial" w:cs="Arial"/>
          <w:noProof/>
          <w:sz w:val="20"/>
          <w:szCs w:val="20"/>
          <w:lang w:val="en-US"/>
        </w:rPr>
        <w:t xml:space="preserve">ECs; </w:t>
      </w:r>
      <w:r>
        <w:rPr>
          <w:rFonts w:ascii="Arial" w:hAnsi="Arial" w:cs="Arial"/>
          <w:noProof/>
          <w:sz w:val="20"/>
          <w:szCs w:val="20"/>
          <w:lang w:val="en-US"/>
        </w:rPr>
        <w:t>pharmaceuticals, personal care products and illicit drugs) in the environment</w:t>
      </w:r>
      <w:r w:rsidR="00DF6705" w:rsidRPr="001F4812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has been given much attention over recent years.  Our current study is investigating the presence and fate </w:t>
      </w:r>
      <w:r w:rsidR="007C7E09">
        <w:rPr>
          <w:rFonts w:ascii="Arial" w:hAnsi="Arial" w:cs="Arial"/>
          <w:noProof/>
          <w:sz w:val="20"/>
          <w:szCs w:val="20"/>
          <w:lang w:val="fr-FR"/>
        </w:rPr>
        <w:t>of ECs</w:t>
      </w:r>
      <w:r w:rsidR="0064595C">
        <w:rPr>
          <w:rFonts w:ascii="Arial" w:hAnsi="Arial" w:cs="Arial"/>
          <w:noProof/>
          <w:sz w:val="20"/>
          <w:szCs w:val="20"/>
          <w:lang w:val="fr-FR"/>
        </w:rPr>
        <w:t xml:space="preserve"> in wastewaters and the environment within a river catchment in South-West England.  An integrated analytical approach of targeted (&gt;200 compounds</w:t>
      </w:r>
      <w:r w:rsidR="0075287E">
        <w:rPr>
          <w:rFonts w:ascii="Arial" w:hAnsi="Arial" w:cs="Arial"/>
          <w:noProof/>
          <w:sz w:val="20"/>
          <w:szCs w:val="20"/>
          <w:lang w:val="fr-FR"/>
        </w:rPr>
        <w:t xml:space="preserve"> including metabolites</w:t>
      </w:r>
      <w:r w:rsidR="0064595C">
        <w:rPr>
          <w:rFonts w:ascii="Arial" w:hAnsi="Arial" w:cs="Arial"/>
          <w:noProof/>
          <w:sz w:val="20"/>
          <w:szCs w:val="20"/>
          <w:lang w:val="fr-FR"/>
        </w:rPr>
        <w:t>) and non-targeted screening, chiral analysis and solids analysis will provie a holistic overview</w:t>
      </w:r>
      <w:r w:rsidR="00B833DA">
        <w:rPr>
          <w:rFonts w:ascii="Arial" w:hAnsi="Arial" w:cs="Arial"/>
          <w:noProof/>
          <w:sz w:val="20"/>
          <w:szCs w:val="20"/>
          <w:lang w:val="fr-FR"/>
        </w:rPr>
        <w:t xml:space="preserve"> of EC </w:t>
      </w:r>
      <w:r w:rsidR="005F0931">
        <w:rPr>
          <w:rFonts w:ascii="Arial" w:hAnsi="Arial" w:cs="Arial"/>
          <w:noProof/>
          <w:sz w:val="20"/>
          <w:szCs w:val="20"/>
          <w:lang w:val="fr-FR"/>
        </w:rPr>
        <w:t>distribution and behaviour</w:t>
      </w:r>
      <w:r w:rsidR="00B42D06">
        <w:rPr>
          <w:rFonts w:ascii="Arial" w:hAnsi="Arial" w:cs="Arial"/>
          <w:noProof/>
          <w:sz w:val="20"/>
          <w:szCs w:val="20"/>
          <w:lang w:val="fr-FR"/>
        </w:rPr>
        <w:t xml:space="preserve"> throughout the catchment</w:t>
      </w:r>
      <w:r w:rsidR="0064595C">
        <w:rPr>
          <w:rFonts w:ascii="Arial" w:hAnsi="Arial" w:cs="Arial"/>
          <w:noProof/>
          <w:sz w:val="20"/>
          <w:szCs w:val="20"/>
          <w:lang w:val="fr-FR"/>
        </w:rPr>
        <w:t>.  Wastewater treatment works</w:t>
      </w:r>
      <w:r w:rsidR="0092315A">
        <w:rPr>
          <w:rFonts w:ascii="Arial" w:hAnsi="Arial" w:cs="Arial"/>
          <w:noProof/>
          <w:sz w:val="20"/>
          <w:szCs w:val="20"/>
          <w:lang w:val="fr-FR"/>
        </w:rPr>
        <w:t xml:space="preserve"> for monitoring</w:t>
      </w:r>
      <w:r w:rsidR="0064595C">
        <w:rPr>
          <w:rFonts w:ascii="Arial" w:hAnsi="Arial" w:cs="Arial"/>
          <w:noProof/>
          <w:sz w:val="20"/>
          <w:szCs w:val="20"/>
          <w:lang w:val="fr-FR"/>
        </w:rPr>
        <w:t xml:space="preserve"> have been selected to </w:t>
      </w:r>
      <w:r w:rsidR="00F61234">
        <w:rPr>
          <w:rFonts w:ascii="Arial" w:hAnsi="Arial" w:cs="Arial"/>
          <w:noProof/>
          <w:sz w:val="20"/>
          <w:szCs w:val="20"/>
          <w:lang w:val="fr-FR"/>
        </w:rPr>
        <w:t>cover &gt;70 % of the population.</w:t>
      </w:r>
      <w:r w:rsidR="005F0931">
        <w:rPr>
          <w:rFonts w:ascii="Arial" w:hAnsi="Arial" w:cs="Arial"/>
          <w:noProof/>
          <w:sz w:val="20"/>
          <w:szCs w:val="20"/>
          <w:lang w:val="fr-FR"/>
        </w:rPr>
        <w:t xml:space="preserve">  </w:t>
      </w:r>
      <w:r w:rsidR="00AA70B2">
        <w:rPr>
          <w:rFonts w:ascii="Arial" w:hAnsi="Arial" w:cs="Arial"/>
          <w:noProof/>
          <w:sz w:val="20"/>
          <w:szCs w:val="20"/>
          <w:lang w:val="fr-FR"/>
        </w:rPr>
        <w:t xml:space="preserve">A minimum of five sampling points per site will be investigated (influent wastewater, effluent wastewater, biomass/sludge, and river water upstream and down stream of the effluent discharge point.  </w:t>
      </w:r>
      <w:r w:rsidR="0064595C">
        <w:rPr>
          <w:rFonts w:ascii="Arial" w:hAnsi="Arial" w:cs="Arial"/>
          <w:noProof/>
          <w:sz w:val="20"/>
          <w:szCs w:val="20"/>
          <w:lang w:val="fr-FR"/>
        </w:rPr>
        <w:t>Monitoring involves eight (consecutive) day sampling campaigns utilising composite samplers.</w:t>
      </w:r>
      <w:r w:rsidR="00F61234">
        <w:rPr>
          <w:rFonts w:ascii="Arial" w:hAnsi="Arial" w:cs="Arial"/>
          <w:noProof/>
          <w:sz w:val="20"/>
          <w:szCs w:val="20"/>
          <w:lang w:val="fr-FR"/>
        </w:rPr>
        <w:t xml:space="preserve">  This </w:t>
      </w:r>
      <w:r w:rsidR="006F70B9">
        <w:rPr>
          <w:rFonts w:ascii="Arial" w:hAnsi="Arial" w:cs="Arial"/>
          <w:noProof/>
          <w:sz w:val="20"/>
          <w:szCs w:val="20"/>
          <w:lang w:val="fr-FR"/>
        </w:rPr>
        <w:t xml:space="preserve">approach </w:t>
      </w:r>
      <w:r w:rsidR="00F61234">
        <w:rPr>
          <w:rFonts w:ascii="Arial" w:hAnsi="Arial" w:cs="Arial"/>
          <w:noProof/>
          <w:sz w:val="20"/>
          <w:szCs w:val="20"/>
          <w:lang w:val="fr-FR"/>
        </w:rPr>
        <w:t>will provide</w:t>
      </w:r>
      <w:r w:rsidR="006F70B9">
        <w:rPr>
          <w:rFonts w:ascii="Arial" w:hAnsi="Arial" w:cs="Arial"/>
          <w:noProof/>
          <w:sz w:val="20"/>
          <w:szCs w:val="20"/>
          <w:lang w:val="fr-FR"/>
        </w:rPr>
        <w:t xml:space="preserve"> one of the most comprehensive investigations of ECs in the environment to date.   </w:t>
      </w:r>
      <w:r w:rsidR="00F61234">
        <w:rPr>
          <w:rFonts w:ascii="Arial" w:hAnsi="Arial" w:cs="Arial"/>
          <w:noProof/>
          <w:sz w:val="20"/>
          <w:szCs w:val="20"/>
          <w:lang w:val="fr-FR"/>
        </w:rPr>
        <w:t xml:space="preserve">   </w:t>
      </w:r>
    </w:p>
    <w:p w:rsidR="005F0931" w:rsidRDefault="005F0931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5F0931" w:rsidRDefault="005F0931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Initial findings have shown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 the ubiquity of ECs in wastewaters.  Weekly profiles of </w:t>
      </w:r>
      <w:r w:rsidR="0075287E">
        <w:rPr>
          <w:rFonts w:ascii="Arial" w:hAnsi="Arial" w:cs="Arial"/>
          <w:noProof/>
          <w:sz w:val="20"/>
          <w:szCs w:val="20"/>
          <w:lang w:val="fr-FR"/>
        </w:rPr>
        <w:t>non-steroidal anti-inflammatory drugs and suspected endocrine dis</w:t>
      </w:r>
      <w:r w:rsidR="00154ED3">
        <w:rPr>
          <w:rFonts w:ascii="Arial" w:hAnsi="Arial" w:cs="Arial"/>
          <w:noProof/>
          <w:sz w:val="20"/>
          <w:szCs w:val="20"/>
          <w:lang w:val="fr-FR"/>
        </w:rPr>
        <w:t>rupting chemicals (EDCs) in influent wastewater show little inter-day variation (Figure 1</w:t>
      </w:r>
      <w:r w:rsidR="00B42D06">
        <w:rPr>
          <w:rFonts w:ascii="Arial" w:hAnsi="Arial" w:cs="Arial"/>
          <w:noProof/>
          <w:sz w:val="20"/>
          <w:szCs w:val="20"/>
          <w:lang w:val="fr-FR"/>
        </w:rPr>
        <w:t>A</w:t>
      </w:r>
      <w:r w:rsidR="00154ED3">
        <w:rPr>
          <w:rFonts w:ascii="Arial" w:hAnsi="Arial" w:cs="Arial"/>
          <w:noProof/>
          <w:sz w:val="20"/>
          <w:szCs w:val="20"/>
          <w:lang w:val="fr-FR"/>
        </w:rPr>
        <w:t xml:space="preserve">).  This is to be expected through their continual use.  A similar trend was observed for </w:t>
      </w:r>
      <w:r w:rsidR="006F70B9">
        <w:rPr>
          <w:rFonts w:ascii="Arial" w:hAnsi="Arial" w:cs="Arial"/>
          <w:noProof/>
          <w:sz w:val="20"/>
          <w:szCs w:val="20"/>
          <w:lang w:val="fr-FR"/>
        </w:rPr>
        <w:t>the stimulants</w:t>
      </w:r>
      <w:r w:rsidR="00154ED3">
        <w:rPr>
          <w:rFonts w:ascii="Arial" w:hAnsi="Arial" w:cs="Arial"/>
          <w:noProof/>
          <w:sz w:val="20"/>
          <w:szCs w:val="20"/>
          <w:lang w:val="fr-FR"/>
        </w:rPr>
        <w:t xml:space="preserve"> amphetamine and methamphetamine</w:t>
      </w:r>
      <w:r w:rsidR="00B42D06">
        <w:rPr>
          <w:rFonts w:ascii="Arial" w:hAnsi="Arial" w:cs="Arial"/>
          <w:noProof/>
          <w:sz w:val="20"/>
          <w:szCs w:val="20"/>
          <w:lang w:val="fr-FR"/>
        </w:rPr>
        <w:t xml:space="preserve"> (Figure 1B)</w:t>
      </w:r>
      <w:r w:rsidR="00154ED3">
        <w:rPr>
          <w:rFonts w:ascii="Arial" w:hAnsi="Arial" w:cs="Arial"/>
          <w:noProof/>
          <w:sz w:val="20"/>
          <w:szCs w:val="20"/>
          <w:lang w:val="fr-FR"/>
        </w:rPr>
        <w:t xml:space="preserve">.  In contrast, cocaine and benzoylecgonine and MDMA demonstrated significantly higher concentrations during weekends </w:t>
      </w:r>
      <w:r w:rsidR="00AF4439">
        <w:rPr>
          <w:rFonts w:ascii="Arial" w:hAnsi="Arial" w:cs="Arial"/>
          <w:noProof/>
          <w:sz w:val="20"/>
          <w:szCs w:val="20"/>
          <w:lang w:val="fr-FR"/>
        </w:rPr>
        <w:t xml:space="preserve">due to their recreational use. </w:t>
      </w:r>
      <w:r w:rsidR="00154ED3">
        <w:rPr>
          <w:rFonts w:ascii="Arial" w:hAnsi="Arial" w:cs="Arial"/>
          <w:noProof/>
          <w:sz w:val="20"/>
          <w:szCs w:val="20"/>
          <w:lang w:val="fr-FR"/>
        </w:rPr>
        <w:t xml:space="preserve">Interestingly, </w:t>
      </w:r>
      <w:r w:rsidR="00473A67">
        <w:rPr>
          <w:rFonts w:ascii="Arial" w:hAnsi="Arial" w:cs="Arial"/>
          <w:noProof/>
          <w:sz w:val="20"/>
          <w:szCs w:val="20"/>
          <w:lang w:val="fr-FR"/>
        </w:rPr>
        <w:t xml:space="preserve">a similar trend was </w:t>
      </w:r>
      <w:r w:rsidR="000925B9">
        <w:rPr>
          <w:rFonts w:ascii="Arial" w:hAnsi="Arial" w:cs="Arial"/>
          <w:noProof/>
          <w:sz w:val="20"/>
          <w:szCs w:val="20"/>
          <w:lang w:val="fr-FR"/>
        </w:rPr>
        <w:t>observed for MDMA in effluent.  In effluent, MDA was also observed showing a similar trend to the parent compound MDMA.  This demonstrates the necessity of analysing metabolites for fate evaluation and the development of more accurate risk assesment.</w:t>
      </w:r>
    </w:p>
    <w:p w:rsidR="00C54F4B" w:rsidRDefault="00AF26E6" w:rsidP="00AF26E6">
      <w:pPr>
        <w:jc w:val="center"/>
        <w:rPr>
          <w:rFonts w:ascii="Arial" w:hAnsi="Arial" w:cs="Arial"/>
          <w:noProof/>
          <w:sz w:val="20"/>
          <w:szCs w:val="20"/>
          <w:lang w:val="fr-FR"/>
        </w:rPr>
      </w:pPr>
      <w:r w:rsidRPr="00AF26E6">
        <w:rPr>
          <w:noProof/>
          <w:lang w:val="en-GB" w:eastAsia="en-GB"/>
        </w:rPr>
        <w:drawing>
          <wp:inline distT="0" distB="0" distL="0" distR="0">
            <wp:extent cx="4122000" cy="31572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00" cy="31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E6" w:rsidRDefault="00AF26E6" w:rsidP="00AF26E6">
      <w:pPr>
        <w:jc w:val="center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Figure 1. Daily loads of NSAIDs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 and EDCs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(A) and Stimulants (B) in influent and effluent wastewaters during an eight day period. Compound identification : </w:t>
      </w:r>
      <w:r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1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>a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cetaminophen; </w:t>
      </w:r>
      <w:r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2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>ibuprofen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; </w:t>
      </w:r>
      <w:r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3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>naproxen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; </w:t>
      </w:r>
      <w:r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4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>bisphenol-A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; </w:t>
      </w:r>
      <w:r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5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>diclofenac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6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estrone;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7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ketoprofen;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8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benzoylecgonine;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9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cocaine;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10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amphetamine 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11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MDMA;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12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cocaethylene;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13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mephedrone;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14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 xml:space="preserve">methamphetamine; </w:t>
      </w:r>
      <w:r w:rsidR="00FA6A00" w:rsidRPr="00FA6A00">
        <w:rPr>
          <w:rFonts w:ascii="Arial" w:hAnsi="Arial" w:cs="Arial"/>
          <w:noProof/>
          <w:sz w:val="20"/>
          <w:szCs w:val="20"/>
          <w:vertAlign w:val="superscript"/>
          <w:lang w:val="fr-FR"/>
        </w:rPr>
        <w:t>15</w:t>
      </w:r>
      <w:r w:rsidR="00FA6A00">
        <w:rPr>
          <w:rFonts w:ascii="Arial" w:hAnsi="Arial" w:cs="Arial"/>
          <w:noProof/>
          <w:sz w:val="20"/>
          <w:szCs w:val="20"/>
          <w:lang w:val="fr-FR"/>
        </w:rPr>
        <w:t>MDA</w:t>
      </w:r>
    </w:p>
    <w:p w:rsidR="000925B9" w:rsidRDefault="000925B9" w:rsidP="00AF26E6">
      <w:pPr>
        <w:jc w:val="center"/>
        <w:rPr>
          <w:rFonts w:ascii="Arial" w:hAnsi="Arial" w:cs="Arial"/>
          <w:noProof/>
          <w:sz w:val="20"/>
          <w:szCs w:val="20"/>
          <w:lang w:val="fr-FR"/>
        </w:rPr>
      </w:pPr>
    </w:p>
    <w:p w:rsidR="000925B9" w:rsidRDefault="000925B9" w:rsidP="000925B9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 xml:space="preserve">The catchment approach </w:t>
      </w:r>
      <w:r w:rsidR="00AF4439">
        <w:rPr>
          <w:rFonts w:ascii="Arial" w:hAnsi="Arial" w:cs="Arial"/>
          <w:noProof/>
          <w:sz w:val="20"/>
          <w:szCs w:val="20"/>
          <w:lang w:val="fr-FR"/>
        </w:rPr>
        <w:t>described here provides the opp</w:t>
      </w:r>
      <w:r w:rsidR="00B42D06">
        <w:rPr>
          <w:rFonts w:ascii="Arial" w:hAnsi="Arial" w:cs="Arial"/>
          <w:noProof/>
          <w:sz w:val="20"/>
          <w:szCs w:val="20"/>
          <w:lang w:val="fr-FR"/>
        </w:rPr>
        <w:t>ortunity to pr</w:t>
      </w:r>
      <w:r w:rsidR="00AF4439">
        <w:rPr>
          <w:rFonts w:ascii="Arial" w:hAnsi="Arial" w:cs="Arial"/>
          <w:noProof/>
          <w:sz w:val="20"/>
          <w:szCs w:val="20"/>
          <w:lang w:val="fr-FR"/>
        </w:rPr>
        <w:t>oduce a comprehensive data-set</w:t>
      </w:r>
      <w:r w:rsidR="006F70B9">
        <w:rPr>
          <w:rFonts w:ascii="Arial" w:hAnsi="Arial" w:cs="Arial"/>
          <w:noProof/>
          <w:sz w:val="20"/>
          <w:szCs w:val="20"/>
          <w:lang w:val="fr-FR"/>
        </w:rPr>
        <w:t xml:space="preserve"> of ECs in wastewater and the environment</w:t>
      </w:r>
      <w:r w:rsidR="00AF4439">
        <w:rPr>
          <w:rFonts w:ascii="Arial" w:hAnsi="Arial" w:cs="Arial"/>
          <w:noProof/>
          <w:sz w:val="20"/>
          <w:szCs w:val="20"/>
          <w:lang w:val="fr-FR"/>
        </w:rPr>
        <w:t>.  This data will be used</w:t>
      </w:r>
      <w:r w:rsidR="006F70B9">
        <w:rPr>
          <w:rFonts w:ascii="Arial" w:hAnsi="Arial" w:cs="Arial"/>
          <w:noProof/>
          <w:sz w:val="20"/>
          <w:szCs w:val="20"/>
          <w:lang w:val="fr-FR"/>
        </w:rPr>
        <w:t xml:space="preserve"> to</w:t>
      </w:r>
      <w:r w:rsidR="00AF4439">
        <w:rPr>
          <w:rFonts w:ascii="Arial" w:hAnsi="Arial" w:cs="Arial"/>
          <w:noProof/>
          <w:sz w:val="20"/>
          <w:szCs w:val="20"/>
          <w:lang w:val="fr-FR"/>
        </w:rPr>
        <w:t xml:space="preserve">, but not limited to, </w:t>
      </w:r>
      <w:r w:rsidR="00AA70B2">
        <w:rPr>
          <w:rFonts w:ascii="Arial" w:hAnsi="Arial" w:cs="Arial"/>
          <w:noProof/>
          <w:sz w:val="20"/>
          <w:szCs w:val="20"/>
          <w:lang w:val="fr-FR"/>
        </w:rPr>
        <w:t xml:space="preserve">provide </w:t>
      </w:r>
      <w:r w:rsidR="00AF4439">
        <w:rPr>
          <w:rFonts w:ascii="Arial" w:hAnsi="Arial" w:cs="Arial"/>
          <w:noProof/>
          <w:sz w:val="20"/>
          <w:szCs w:val="20"/>
          <w:lang w:val="fr-FR"/>
        </w:rPr>
        <w:t>a better understand</w:t>
      </w:r>
      <w:r w:rsidR="00F61234">
        <w:rPr>
          <w:rFonts w:ascii="Arial" w:hAnsi="Arial" w:cs="Arial"/>
          <w:noProof/>
          <w:sz w:val="20"/>
          <w:szCs w:val="20"/>
          <w:lang w:val="fr-FR"/>
        </w:rPr>
        <w:t>ing of</w:t>
      </w:r>
      <w:r w:rsidR="00AF4439">
        <w:rPr>
          <w:rFonts w:ascii="Arial" w:hAnsi="Arial" w:cs="Arial"/>
          <w:noProof/>
          <w:sz w:val="20"/>
          <w:szCs w:val="20"/>
          <w:lang w:val="fr-FR"/>
        </w:rPr>
        <w:t xml:space="preserve"> EC fate and behaviour during wastewater treatment and in the environment (</w:t>
      </w:r>
      <w:r w:rsidR="00F61234">
        <w:rPr>
          <w:rFonts w:ascii="Arial" w:hAnsi="Arial" w:cs="Arial"/>
          <w:noProof/>
          <w:sz w:val="20"/>
          <w:szCs w:val="20"/>
          <w:lang w:val="fr-FR"/>
        </w:rPr>
        <w:t xml:space="preserve">in </w:t>
      </w:r>
      <w:r w:rsidR="00AF4439">
        <w:rPr>
          <w:rFonts w:ascii="Arial" w:hAnsi="Arial" w:cs="Arial"/>
          <w:noProof/>
          <w:sz w:val="20"/>
          <w:szCs w:val="20"/>
          <w:lang w:val="fr-FR"/>
        </w:rPr>
        <w:t xml:space="preserve">both aqueous and terrestrial compartments), </w:t>
      </w:r>
      <w:r w:rsidR="00F61234">
        <w:rPr>
          <w:rFonts w:ascii="Arial" w:hAnsi="Arial" w:cs="Arial"/>
          <w:noProof/>
          <w:sz w:val="20"/>
          <w:szCs w:val="20"/>
          <w:lang w:val="fr-FR"/>
        </w:rPr>
        <w:t xml:space="preserve">detailed wastewater based </w:t>
      </w:r>
      <w:r w:rsidR="006F70B9">
        <w:rPr>
          <w:rFonts w:ascii="Arial" w:hAnsi="Arial" w:cs="Arial"/>
          <w:noProof/>
          <w:sz w:val="20"/>
          <w:szCs w:val="20"/>
          <w:lang w:val="fr-FR"/>
        </w:rPr>
        <w:t xml:space="preserve">epidemiology of </w:t>
      </w:r>
      <w:r w:rsidR="00F61234">
        <w:rPr>
          <w:rFonts w:ascii="Arial" w:hAnsi="Arial" w:cs="Arial"/>
          <w:noProof/>
          <w:sz w:val="20"/>
          <w:szCs w:val="20"/>
          <w:lang w:val="fr-FR"/>
        </w:rPr>
        <w:t>ph</w:t>
      </w:r>
      <w:r w:rsidR="00AA70B2">
        <w:rPr>
          <w:rFonts w:ascii="Arial" w:hAnsi="Arial" w:cs="Arial"/>
          <w:noProof/>
          <w:sz w:val="20"/>
          <w:szCs w:val="20"/>
          <w:lang w:val="fr-FR"/>
        </w:rPr>
        <w:t>armaceuticals and illicit drugs</w:t>
      </w:r>
      <w:r w:rsidR="00924788">
        <w:rPr>
          <w:rFonts w:ascii="Arial" w:hAnsi="Arial" w:cs="Arial"/>
          <w:noProof/>
          <w:sz w:val="20"/>
          <w:szCs w:val="20"/>
          <w:lang w:val="fr-FR"/>
        </w:rPr>
        <w:t>,</w:t>
      </w:r>
      <w:bookmarkStart w:id="0" w:name="_GoBack"/>
      <w:bookmarkEnd w:id="0"/>
      <w:r w:rsidR="00AF4439">
        <w:rPr>
          <w:rFonts w:ascii="Arial" w:hAnsi="Arial" w:cs="Arial"/>
          <w:noProof/>
          <w:sz w:val="20"/>
          <w:szCs w:val="20"/>
          <w:lang w:val="fr-FR"/>
        </w:rPr>
        <w:t xml:space="preserve"> and the development of more accurate </w:t>
      </w:r>
      <w:r w:rsidR="00AA70B2">
        <w:rPr>
          <w:rFonts w:ascii="Arial" w:hAnsi="Arial" w:cs="Arial"/>
          <w:noProof/>
          <w:sz w:val="20"/>
          <w:szCs w:val="20"/>
          <w:lang w:val="fr-FR"/>
        </w:rPr>
        <w:t>environme</w:t>
      </w:r>
      <w:r w:rsidR="00F61234">
        <w:rPr>
          <w:rFonts w:ascii="Arial" w:hAnsi="Arial" w:cs="Arial"/>
          <w:noProof/>
          <w:sz w:val="20"/>
          <w:szCs w:val="20"/>
          <w:lang w:val="fr-FR"/>
        </w:rPr>
        <w:t xml:space="preserve">ntal </w:t>
      </w:r>
      <w:r w:rsidR="00AF4439">
        <w:rPr>
          <w:rFonts w:ascii="Arial" w:hAnsi="Arial" w:cs="Arial"/>
          <w:noProof/>
          <w:sz w:val="20"/>
          <w:szCs w:val="20"/>
          <w:lang w:val="fr-FR"/>
        </w:rPr>
        <w:t xml:space="preserve">risk assessment. </w:t>
      </w:r>
    </w:p>
    <w:sectPr w:rsidR="000925B9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0"/>
    <w:rsid w:val="000925B9"/>
    <w:rsid w:val="000F7DDD"/>
    <w:rsid w:val="00154ED3"/>
    <w:rsid w:val="001A6F72"/>
    <w:rsid w:val="001F4812"/>
    <w:rsid w:val="00221F86"/>
    <w:rsid w:val="00241318"/>
    <w:rsid w:val="00455675"/>
    <w:rsid w:val="00455DBB"/>
    <w:rsid w:val="00473A67"/>
    <w:rsid w:val="004B2CE5"/>
    <w:rsid w:val="004B591F"/>
    <w:rsid w:val="004F3F40"/>
    <w:rsid w:val="00536439"/>
    <w:rsid w:val="005F0931"/>
    <w:rsid w:val="0064595C"/>
    <w:rsid w:val="006F70B9"/>
    <w:rsid w:val="0075287E"/>
    <w:rsid w:val="007C7E09"/>
    <w:rsid w:val="008C47B6"/>
    <w:rsid w:val="008E1BB9"/>
    <w:rsid w:val="0092315A"/>
    <w:rsid w:val="00924788"/>
    <w:rsid w:val="009B473C"/>
    <w:rsid w:val="00A34C75"/>
    <w:rsid w:val="00A377E4"/>
    <w:rsid w:val="00A4450B"/>
    <w:rsid w:val="00AA70B2"/>
    <w:rsid w:val="00AF26E6"/>
    <w:rsid w:val="00AF4439"/>
    <w:rsid w:val="00B10E8D"/>
    <w:rsid w:val="00B42D06"/>
    <w:rsid w:val="00B833DA"/>
    <w:rsid w:val="00BB51C3"/>
    <w:rsid w:val="00C22D80"/>
    <w:rsid w:val="00C54F4B"/>
    <w:rsid w:val="00D2223F"/>
    <w:rsid w:val="00DF6705"/>
    <w:rsid w:val="00E05237"/>
    <w:rsid w:val="00F61234"/>
    <w:rsid w:val="00F8429A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F66A3F-704B-4E24-A87C-416174F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b.petrie@bath.ac.uk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C7F518AB</Template>
  <TotalTime>219</TotalTime>
  <Pages>1</Pages>
  <Words>405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3025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Bruce Petrie</cp:lastModifiedBy>
  <cp:revision>7</cp:revision>
  <dcterms:created xsi:type="dcterms:W3CDTF">2015-04-27T16:12:00Z</dcterms:created>
  <dcterms:modified xsi:type="dcterms:W3CDTF">2015-05-20T13:26:00Z</dcterms:modified>
</cp:coreProperties>
</file>