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18" w:rsidRDefault="00772218" w:rsidP="00772218">
      <w:pPr>
        <w:pStyle w:val="KeinLeerraum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72218" w:rsidRPr="00DA2005" w:rsidRDefault="00772218" w:rsidP="00DA2005">
      <w:pPr>
        <w:spacing w:after="120" w:line="240" w:lineRule="auto"/>
        <w:rPr>
          <w:rFonts w:ascii="Arial" w:eastAsia="Times New Roman" w:hAnsi="Arial" w:cs="Arial"/>
          <w:b/>
          <w:noProof/>
          <w:sz w:val="28"/>
          <w:szCs w:val="28"/>
          <w:lang w:val="fr-FR" w:eastAsia="de-DE"/>
        </w:rPr>
      </w:pPr>
      <w:r w:rsidRPr="00DA2005">
        <w:rPr>
          <w:rFonts w:ascii="Arial" w:eastAsia="Times New Roman" w:hAnsi="Arial" w:cs="Arial"/>
          <w:b/>
          <w:noProof/>
          <w:sz w:val="28"/>
          <w:szCs w:val="28"/>
          <w:lang w:val="fr-FR" w:eastAsia="de-DE"/>
        </w:rPr>
        <w:t>Development of a sequential extraction method to assess bioavailability of rare earth elements</w:t>
      </w:r>
    </w:p>
    <w:p w:rsidR="0015277E" w:rsidRPr="00DA2005" w:rsidRDefault="0015277E" w:rsidP="00772218">
      <w:pPr>
        <w:pStyle w:val="KeinLeerraum"/>
        <w:jc w:val="both"/>
        <w:rPr>
          <w:sz w:val="24"/>
          <w:szCs w:val="24"/>
        </w:rPr>
      </w:pPr>
    </w:p>
    <w:p w:rsidR="00772218" w:rsidRPr="00DA2005" w:rsidRDefault="00DA2005" w:rsidP="00DA2005">
      <w:pPr>
        <w:spacing w:after="120" w:line="240" w:lineRule="auto"/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</w:pPr>
      <w:r w:rsidRPr="00DA2005">
        <w:rPr>
          <w:rFonts w:ascii="Arial" w:eastAsia="Times New Roman" w:hAnsi="Arial" w:cs="Arial"/>
          <w:smallCaps/>
          <w:noProof/>
          <w:sz w:val="24"/>
          <w:szCs w:val="24"/>
          <w:u w:val="single"/>
          <w:lang w:val="de-DE" w:eastAsia="de-DE"/>
        </w:rPr>
        <w:t>Birgit Daus</w:t>
      </w:r>
      <w:r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>,</w:t>
      </w:r>
      <w:r w:rsidRPr="00DA2005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 xml:space="preserve"> </w:t>
      </w:r>
      <w:r w:rsidR="00772218" w:rsidRPr="00DA2005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>M</w:t>
      </w:r>
      <w:r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>arc Mitterm</w:t>
      </w:r>
      <w:r w:rsidR="00783C00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>ue</w:t>
      </w:r>
      <w:r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>ller, Jessica Saatz</w:t>
      </w:r>
      <w:r w:rsidR="00772218" w:rsidRPr="00DA2005">
        <w:rPr>
          <w:rFonts w:ascii="Arial" w:eastAsia="Times New Roman" w:hAnsi="Arial" w:cs="Arial"/>
          <w:smallCaps/>
          <w:noProof/>
          <w:sz w:val="24"/>
          <w:szCs w:val="24"/>
          <w:lang w:val="de-DE" w:eastAsia="de-DE"/>
        </w:rPr>
        <w:t xml:space="preserve"> </w:t>
      </w:r>
    </w:p>
    <w:p w:rsidR="00772218" w:rsidRPr="00DA2005" w:rsidRDefault="00772218" w:rsidP="00772218">
      <w:pPr>
        <w:pStyle w:val="KeinLeerraum"/>
        <w:jc w:val="both"/>
        <w:rPr>
          <w:lang w:val="de-DE"/>
        </w:rPr>
      </w:pPr>
    </w:p>
    <w:p w:rsidR="00DA2005" w:rsidRPr="00DA2005" w:rsidRDefault="00772218" w:rsidP="00DA2005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de-DE"/>
        </w:rPr>
      </w:pPr>
      <w:r w:rsidRPr="00DA2005">
        <w:rPr>
          <w:rFonts w:ascii="Arial" w:eastAsia="Times New Roman" w:hAnsi="Arial" w:cs="Arial"/>
          <w:noProof/>
          <w:sz w:val="18"/>
          <w:szCs w:val="18"/>
          <w:lang w:eastAsia="de-DE"/>
        </w:rPr>
        <w:t>UFZ - Helmholtz Centre for Environmental Research, Department of Analytical Chemistry, Permoserstrasse 15, 04318 Leipzig, Germany</w:t>
      </w:r>
      <w:r w:rsidR="00DA2005" w:rsidRPr="00DA2005">
        <w:rPr>
          <w:rFonts w:ascii="Arial" w:eastAsia="Times New Roman" w:hAnsi="Arial" w:cs="Arial"/>
          <w:noProof/>
          <w:sz w:val="18"/>
          <w:szCs w:val="18"/>
          <w:lang w:eastAsia="de-DE"/>
        </w:rPr>
        <w:t xml:space="preserve">, </w:t>
      </w:r>
      <w:hyperlink r:id="rId5" w:history="1">
        <w:r w:rsidR="00444DF8" w:rsidRPr="00F54B89">
          <w:rPr>
            <w:rStyle w:val="Hyperlink"/>
            <w:rFonts w:ascii="Arial" w:eastAsia="Times New Roman" w:hAnsi="Arial" w:cs="Arial"/>
            <w:noProof/>
            <w:sz w:val="18"/>
            <w:szCs w:val="18"/>
            <w:lang w:eastAsia="de-DE"/>
          </w:rPr>
          <w:t>birgit.daus@ufz.de</w:t>
        </w:r>
      </w:hyperlink>
      <w:r w:rsidR="006E003D">
        <w:rPr>
          <w:rStyle w:val="Hyperlink"/>
          <w:rFonts w:ascii="Arial" w:eastAsia="Times New Roman" w:hAnsi="Arial" w:cs="Arial"/>
          <w:noProof/>
          <w:sz w:val="18"/>
          <w:szCs w:val="18"/>
          <w:lang w:eastAsia="de-DE"/>
        </w:rPr>
        <w:t xml:space="preserve"> </w:t>
      </w:r>
    </w:p>
    <w:p w:rsidR="00772218" w:rsidRPr="00772218" w:rsidRDefault="00772218" w:rsidP="00772218">
      <w:pPr>
        <w:pStyle w:val="KeinLeerraum"/>
        <w:spacing w:line="480" w:lineRule="auto"/>
        <w:jc w:val="both"/>
      </w:pPr>
    </w:p>
    <w:p w:rsidR="00A2646E" w:rsidRPr="00A2646E" w:rsidRDefault="00A2646E" w:rsidP="00A2646E">
      <w:pPr>
        <w:pStyle w:val="KeinLeerraum"/>
        <w:jc w:val="both"/>
        <w:rPr>
          <w:rFonts w:ascii="Arial" w:eastAsia="Times New Roman" w:hAnsi="Arial" w:cs="Arial"/>
          <w:noProof/>
          <w:sz w:val="20"/>
          <w:szCs w:val="20"/>
          <w:lang w:val="fr-FR" w:eastAsia="de-DE"/>
        </w:rPr>
      </w:pPr>
      <w:r w:rsidRPr="00A2646E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Sequential extraction methods are used to estimate the mobilisation behaviour of interesting elements from soils, sludge and sediments simulating different leaching conditions. Especially the mobilisation behaviour of heavy metals </w:t>
      </w:r>
      <w:r w:rsidR="007B4DB5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was</w:t>
      </w:r>
      <w:r w:rsidRPr="00A2646E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in the focus to access the risk potential of contaminated media</w:t>
      </w:r>
      <w:r w:rsidR="007B4DB5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for many years</w:t>
      </w:r>
      <w:r w:rsidRPr="00A2646E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. Hardly mobile or inertly bound elements pose a lower risk compared to easily soluble fractions. In sequential extraction methods the sample is successively suspended in extraction solutions of increasing strength and the mobilized amount of analytes is quantified. </w:t>
      </w:r>
    </w:p>
    <w:p w:rsidR="007B4DB5" w:rsidRPr="00444DF8" w:rsidRDefault="00772218" w:rsidP="00A2646E">
      <w:pPr>
        <w:pStyle w:val="KeinLeerraum"/>
        <w:spacing w:before="120"/>
        <w:jc w:val="both"/>
        <w:rPr>
          <w:rFonts w:ascii="Arial" w:eastAsia="Times New Roman" w:hAnsi="Arial" w:cs="Arial"/>
          <w:noProof/>
          <w:sz w:val="20"/>
          <w:szCs w:val="20"/>
          <w:lang w:val="fr-FR" w:eastAsia="de-DE"/>
        </w:rPr>
      </w:pPr>
      <w:r w:rsidRPr="00DA2005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The development of a novel five step sequential extraction method for evaluation of the mobilisation behaviour of rare earth elements from soils and tailing materials will be presented. </w:t>
      </w:r>
      <w:r w:rsidR="007B4DB5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These group of elements have a </w:t>
      </w:r>
      <w:r w:rsidR="007B4DB5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similar chemic</w:t>
      </w:r>
      <w:r w:rsidR="006E003D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a</w:t>
      </w:r>
      <w:r w:rsidR="007B4DB5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l behaviour which differ from the heavy metals. 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The sequence consists of the five fractions 0.05M Ca(NO</w:t>
      </w:r>
      <w:r w:rsidRPr="00444DF8">
        <w:rPr>
          <w:rFonts w:ascii="Arial" w:eastAsia="Times New Roman" w:hAnsi="Arial" w:cs="Arial"/>
          <w:noProof/>
          <w:sz w:val="20"/>
          <w:szCs w:val="20"/>
          <w:vertAlign w:val="subscript"/>
          <w:lang w:val="fr-FR" w:eastAsia="de-DE"/>
        </w:rPr>
        <w:t>3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)</w:t>
      </w:r>
      <w:r w:rsidRPr="00444DF8">
        <w:rPr>
          <w:rFonts w:ascii="Arial" w:eastAsia="Times New Roman" w:hAnsi="Arial" w:cs="Arial"/>
          <w:noProof/>
          <w:sz w:val="20"/>
          <w:szCs w:val="20"/>
          <w:vertAlign w:val="subscript"/>
          <w:lang w:val="fr-FR" w:eastAsia="de-DE"/>
        </w:rPr>
        <w:t>2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(easily soluble and exchangeable), 0.1 M citric acid (mobili</w:t>
      </w:r>
      <w:r w:rsidR="006E003D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z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ation by complexation and carbonate bound), 0.05 M hydroxylamine in 0.05 M HNO</w:t>
      </w:r>
      <w:r w:rsidRPr="00444DF8">
        <w:rPr>
          <w:rFonts w:ascii="Arial" w:eastAsia="Times New Roman" w:hAnsi="Arial" w:cs="Arial"/>
          <w:noProof/>
          <w:sz w:val="20"/>
          <w:szCs w:val="20"/>
          <w:vertAlign w:val="subscript"/>
          <w:lang w:val="fr-FR" w:eastAsia="de-DE"/>
        </w:rPr>
        <w:t>3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(</w:t>
      </w:r>
      <w:r w:rsidR="00C55C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mobilized under reducing conditions</w:t>
      </w:r>
      <w:bookmarkStart w:id="0" w:name="_GoBack"/>
      <w:bookmarkEnd w:id="0"/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),</w:t>
      </w:r>
      <w:r w:rsidR="00783C00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and 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6.5% HNO</w:t>
      </w:r>
      <w:r w:rsidRPr="00444DF8">
        <w:rPr>
          <w:rFonts w:ascii="Arial" w:eastAsia="Times New Roman" w:hAnsi="Arial" w:cs="Arial"/>
          <w:noProof/>
          <w:sz w:val="20"/>
          <w:szCs w:val="20"/>
          <w:vertAlign w:val="subscript"/>
          <w:lang w:val="fr-FR" w:eastAsia="de-DE"/>
        </w:rPr>
        <w:t>3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(acid soluble)</w:t>
      </w:r>
      <w:r w:rsidR="00783C00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.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</w:t>
      </w:r>
      <w:r w:rsidR="007B4DB5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(</w:t>
      </w:r>
      <w:r w:rsidR="007B4DB5" w:rsidRPr="00444DF8">
        <w:rPr>
          <w:rFonts w:ascii="Arial" w:eastAsia="Times New Roman" w:hAnsi="Arial" w:cs="Arial"/>
          <w:smallCaps/>
          <w:noProof/>
          <w:sz w:val="20"/>
          <w:szCs w:val="20"/>
          <w:lang w:val="fr-FR" w:eastAsia="de-DE"/>
        </w:rPr>
        <w:t>Mittermueller</w:t>
      </w:r>
      <w:r w:rsidR="007B4DB5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et al., 2015). </w:t>
      </w:r>
    </w:p>
    <w:p w:rsidR="00772218" w:rsidRPr="00444DF8" w:rsidRDefault="005E2A74" w:rsidP="00A2646E">
      <w:pPr>
        <w:pStyle w:val="KeinLeerraum"/>
        <w:spacing w:before="120"/>
        <w:jc w:val="both"/>
        <w:rPr>
          <w:rFonts w:ascii="Arial" w:eastAsia="Times New Roman" w:hAnsi="Arial" w:cs="Arial"/>
          <w:noProof/>
          <w:sz w:val="20"/>
          <w:szCs w:val="20"/>
          <w:lang w:val="fr-FR" w:eastAsia="de-DE"/>
        </w:rPr>
      </w:pP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Dynamic leaching techniques</w:t>
      </w:r>
      <w:r w:rsidR="007B4DB5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(with </w:t>
      </w:r>
      <w:r w:rsidR="000E1889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a rotation coiled column device, </w:t>
      </w:r>
      <w:r w:rsidR="007B4DB5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RCC, </w:t>
      </w:r>
      <w:r w:rsidR="007B4DB5" w:rsidRPr="00444DF8">
        <w:rPr>
          <w:rFonts w:ascii="Arial" w:eastAsia="Times New Roman" w:hAnsi="Arial" w:cs="Arial"/>
          <w:smallCaps/>
          <w:noProof/>
          <w:sz w:val="20"/>
          <w:szCs w:val="20"/>
          <w:lang w:val="fr-FR" w:eastAsia="de-DE"/>
        </w:rPr>
        <w:t>Fedotov</w:t>
      </w:r>
      <w:r w:rsidR="007B4DB5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et al. 2005)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were applied investigating the leaching kinetics. </w:t>
      </w:r>
      <w:r w:rsidR="00772218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The procedure was applied to 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a </w:t>
      </w:r>
      <w:r w:rsidR="00772218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certified soil material and 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a</w:t>
      </w:r>
      <w:r w:rsidR="0015277E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mine tailings material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 xml:space="preserve"> with higher REE conc</w:t>
      </w:r>
      <w:r w:rsidR="0015277E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e</w:t>
      </w:r>
      <w:r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ntrations</w:t>
      </w:r>
      <w:r w:rsidR="00772218" w:rsidRPr="00444DF8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. The different results obtained by using either the developed method or for comparison to the widespread BCR-Method will be discussed. There are clear advantages using the new developed sequential extraction procedure in getting more detailed information about the bioavailable fraction and a fraction which adresses REE phosphates.</w:t>
      </w:r>
    </w:p>
    <w:p w:rsidR="00B261EB" w:rsidRPr="00444DF8" w:rsidRDefault="00B261EB" w:rsidP="00DA200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fr-FR" w:eastAsia="de-DE"/>
        </w:rPr>
      </w:pPr>
    </w:p>
    <w:p w:rsidR="000E1889" w:rsidRPr="00444DF8" w:rsidRDefault="000E1889" w:rsidP="00DA200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fr-FR" w:eastAsia="de-DE"/>
        </w:rPr>
      </w:pPr>
    </w:p>
    <w:p w:rsidR="007B4DB5" w:rsidRPr="00444DF8" w:rsidRDefault="007B4DB5" w:rsidP="00DA200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u w:val="single"/>
          <w:lang w:val="fr-FR" w:eastAsia="de-DE"/>
        </w:rPr>
      </w:pPr>
      <w:r w:rsidRPr="00444DF8">
        <w:rPr>
          <w:rFonts w:ascii="Arial" w:eastAsia="Times New Roman" w:hAnsi="Arial" w:cs="Arial"/>
          <w:noProof/>
          <w:sz w:val="20"/>
          <w:szCs w:val="20"/>
          <w:u w:val="single"/>
          <w:lang w:val="fr-FR" w:eastAsia="de-DE"/>
        </w:rPr>
        <w:t>References</w:t>
      </w:r>
      <w:r w:rsidR="000E1889" w:rsidRPr="00444DF8">
        <w:rPr>
          <w:rFonts w:ascii="Arial" w:eastAsia="Times New Roman" w:hAnsi="Arial" w:cs="Arial"/>
          <w:noProof/>
          <w:sz w:val="20"/>
          <w:szCs w:val="20"/>
          <w:u w:val="single"/>
          <w:lang w:val="fr-FR" w:eastAsia="de-DE"/>
        </w:rPr>
        <w:t xml:space="preserve">: </w:t>
      </w:r>
    </w:p>
    <w:p w:rsidR="000E1889" w:rsidRPr="000E1889" w:rsidRDefault="000E1889" w:rsidP="000E1889">
      <w:pPr>
        <w:pStyle w:val="KeinLeerraum"/>
        <w:spacing w:before="120"/>
        <w:ind w:left="720" w:hanging="720"/>
        <w:rPr>
          <w:rFonts w:ascii="Arial" w:eastAsia="Times New Roman" w:hAnsi="Arial" w:cs="Arial"/>
          <w:noProof/>
          <w:sz w:val="20"/>
          <w:szCs w:val="20"/>
          <w:lang w:val="fr-FR" w:eastAsia="de-DE"/>
        </w:rPr>
      </w:pPr>
      <w:bookmarkStart w:id="1" w:name="_ENREF_6"/>
      <w:proofErr w:type="spellStart"/>
      <w:r>
        <w:rPr>
          <w:rFonts w:ascii="Arial" w:hAnsi="Arial" w:cs="Arial"/>
          <w:sz w:val="20"/>
          <w:lang w:val="fr-FR" w:eastAsia="de-DE"/>
        </w:rPr>
        <w:t>Mittermueller</w:t>
      </w:r>
      <w:proofErr w:type="spellEnd"/>
      <w:r>
        <w:rPr>
          <w:rFonts w:ascii="Arial" w:hAnsi="Arial" w:cs="Arial"/>
          <w:sz w:val="20"/>
          <w:lang w:val="fr-FR" w:eastAsia="de-DE"/>
        </w:rPr>
        <w:t xml:space="preserve">, M., Saatz, J., Daus. B., 2015. </w:t>
      </w:r>
      <w:r w:rsidRPr="000E1889"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A sequential extraction procedure to evaluate the mobilisation behaviour of rare earth elements in soils and tailings materials</w:t>
      </w:r>
      <w:r>
        <w:rPr>
          <w:rFonts w:ascii="Arial" w:eastAsia="Times New Roman" w:hAnsi="Arial" w:cs="Arial"/>
          <w:noProof/>
          <w:sz w:val="20"/>
          <w:szCs w:val="20"/>
          <w:lang w:val="fr-FR" w:eastAsia="de-DE"/>
        </w:rPr>
        <w:t>, Chemosphere, submitted</w:t>
      </w:r>
    </w:p>
    <w:p w:rsidR="007B4DB5" w:rsidRPr="000E1889" w:rsidRDefault="007B4DB5" w:rsidP="000E1889">
      <w:pPr>
        <w:pStyle w:val="EndNoteBibliography"/>
        <w:spacing w:before="120"/>
        <w:ind w:left="720" w:hanging="720"/>
        <w:jc w:val="left"/>
        <w:rPr>
          <w:rFonts w:ascii="Arial" w:hAnsi="Arial" w:cs="Arial"/>
          <w:sz w:val="20"/>
          <w:lang w:val="fr-FR" w:eastAsia="de-DE"/>
        </w:rPr>
      </w:pPr>
      <w:r w:rsidRPr="000E1889">
        <w:rPr>
          <w:rFonts w:ascii="Arial" w:hAnsi="Arial" w:cs="Arial"/>
          <w:sz w:val="20"/>
          <w:lang w:val="fr-FR" w:eastAsia="de-DE"/>
        </w:rPr>
        <w:t>Fedotov, P.S., Wennrich, R., Stark, H.J., Spivakov, B.Y., 2005. Continuous-flow fractionation of trace metals in environmental solids using rotating coiled columns. Some kinetic aspects and applicability of three-step BCR leaching schemes. Journal of Environmental Monitoring 7, 22-28.</w:t>
      </w:r>
      <w:bookmarkEnd w:id="1"/>
    </w:p>
    <w:p w:rsidR="007B4DB5" w:rsidRPr="00DA2005" w:rsidRDefault="007B4DB5" w:rsidP="00DA200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fr-FR" w:eastAsia="de-DE"/>
        </w:rPr>
      </w:pPr>
    </w:p>
    <w:sectPr w:rsidR="007B4DB5" w:rsidRPr="00DA2005" w:rsidSect="00DA200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18"/>
    <w:rsid w:val="000E1889"/>
    <w:rsid w:val="0015277E"/>
    <w:rsid w:val="00444DF8"/>
    <w:rsid w:val="005E2A74"/>
    <w:rsid w:val="006E003D"/>
    <w:rsid w:val="00772218"/>
    <w:rsid w:val="00783C00"/>
    <w:rsid w:val="007B4DB5"/>
    <w:rsid w:val="00833C2B"/>
    <w:rsid w:val="00A2646E"/>
    <w:rsid w:val="00B261EB"/>
    <w:rsid w:val="00C3594C"/>
    <w:rsid w:val="00C55CF8"/>
    <w:rsid w:val="00DA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218"/>
    <w:rPr>
      <w:rFonts w:ascii="Times New Roman" w:eastAsia="Times New Roman" w:hAnsi="Times New Roman" w:cs="Times New Roman"/>
      <w:sz w:val="20"/>
      <w:szCs w:val="20"/>
    </w:rPr>
  </w:style>
  <w:style w:type="character" w:customStyle="1" w:styleId="KeinLeerraumZchn">
    <w:name w:val="Kein Leerraum Zchn"/>
    <w:link w:val="KeinLeerraum"/>
    <w:uiPriority w:val="1"/>
    <w:locked/>
    <w:rsid w:val="00772218"/>
  </w:style>
  <w:style w:type="paragraph" w:styleId="KeinLeerraum">
    <w:name w:val="No Spacing"/>
    <w:link w:val="KeinLeerraumZchn"/>
    <w:uiPriority w:val="1"/>
    <w:qFormat/>
    <w:rsid w:val="00772218"/>
    <w:pPr>
      <w:spacing w:after="0" w:line="240" w:lineRule="auto"/>
    </w:pPr>
  </w:style>
  <w:style w:type="character" w:styleId="Kommentarzeichen">
    <w:name w:val="annotation reference"/>
    <w:uiPriority w:val="99"/>
    <w:semiHidden/>
    <w:unhideWhenUsed/>
    <w:rsid w:val="0077221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2005"/>
    <w:rPr>
      <w:color w:val="0000FF" w:themeColor="hyperlink"/>
      <w:u w:val="single"/>
    </w:rPr>
  </w:style>
  <w:style w:type="character" w:styleId="Hervorhebung">
    <w:name w:val="Emphasis"/>
    <w:uiPriority w:val="20"/>
    <w:qFormat/>
    <w:rsid w:val="00A2646E"/>
    <w:rPr>
      <w:i/>
      <w:iCs/>
    </w:rPr>
  </w:style>
  <w:style w:type="paragraph" w:customStyle="1" w:styleId="EndNoteBibliography">
    <w:name w:val="EndNote Bibliography"/>
    <w:basedOn w:val="Standard"/>
    <w:link w:val="EndNoteBibliographyZchn"/>
    <w:rsid w:val="007B4DB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customStyle="1" w:styleId="EndNoteBibliographyZchn">
    <w:name w:val="EndNote Bibliography Zchn"/>
    <w:link w:val="EndNoteBibliography"/>
    <w:rsid w:val="007B4DB5"/>
    <w:rPr>
      <w:rFonts w:ascii="Times New Roman" w:eastAsia="Times New Roman" w:hAnsi="Times New Roman" w:cs="Times New Roman"/>
      <w:noProof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218"/>
    <w:rPr>
      <w:rFonts w:ascii="Times New Roman" w:eastAsia="Times New Roman" w:hAnsi="Times New Roman" w:cs="Times New Roman"/>
      <w:sz w:val="20"/>
      <w:szCs w:val="20"/>
    </w:rPr>
  </w:style>
  <w:style w:type="character" w:customStyle="1" w:styleId="KeinLeerraumZchn">
    <w:name w:val="Kein Leerraum Zchn"/>
    <w:link w:val="KeinLeerraum"/>
    <w:uiPriority w:val="1"/>
    <w:locked/>
    <w:rsid w:val="00772218"/>
  </w:style>
  <w:style w:type="paragraph" w:styleId="KeinLeerraum">
    <w:name w:val="No Spacing"/>
    <w:link w:val="KeinLeerraumZchn"/>
    <w:uiPriority w:val="1"/>
    <w:qFormat/>
    <w:rsid w:val="00772218"/>
    <w:pPr>
      <w:spacing w:after="0" w:line="240" w:lineRule="auto"/>
    </w:pPr>
  </w:style>
  <w:style w:type="character" w:styleId="Kommentarzeichen">
    <w:name w:val="annotation reference"/>
    <w:uiPriority w:val="99"/>
    <w:semiHidden/>
    <w:unhideWhenUsed/>
    <w:rsid w:val="0077221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2005"/>
    <w:rPr>
      <w:color w:val="0000FF" w:themeColor="hyperlink"/>
      <w:u w:val="single"/>
    </w:rPr>
  </w:style>
  <w:style w:type="character" w:styleId="Hervorhebung">
    <w:name w:val="Emphasis"/>
    <w:uiPriority w:val="20"/>
    <w:qFormat/>
    <w:rsid w:val="00A2646E"/>
    <w:rPr>
      <w:i/>
      <w:iCs/>
    </w:rPr>
  </w:style>
  <w:style w:type="paragraph" w:customStyle="1" w:styleId="EndNoteBibliography">
    <w:name w:val="EndNote Bibliography"/>
    <w:basedOn w:val="Standard"/>
    <w:link w:val="EndNoteBibliographyZchn"/>
    <w:rsid w:val="007B4DB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customStyle="1" w:styleId="EndNoteBibliographyZchn">
    <w:name w:val="EndNote Bibliography Zchn"/>
    <w:link w:val="EndNoteBibliography"/>
    <w:rsid w:val="007B4DB5"/>
    <w:rPr>
      <w:rFonts w:ascii="Times New Roman" w:eastAsia="Times New Roman" w:hAnsi="Times New Roman" w:cs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.daus@uf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Daus</dc:creator>
  <cp:lastModifiedBy>Birgit Daus</cp:lastModifiedBy>
  <cp:revision>3</cp:revision>
  <dcterms:created xsi:type="dcterms:W3CDTF">2015-05-13T06:05:00Z</dcterms:created>
  <dcterms:modified xsi:type="dcterms:W3CDTF">2015-05-13T06:07:00Z</dcterms:modified>
</cp:coreProperties>
</file>