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4B" w:rsidRDefault="00D704E9">
      <w:pPr>
        <w:spacing w:after="120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r>
        <w:rPr>
          <w:rFonts w:ascii="Arial" w:hAnsi="Arial" w:cs="Arial"/>
          <w:b/>
          <w:sz w:val="28"/>
          <w:szCs w:val="28"/>
          <w:lang w:val="fr-FR"/>
        </w:rPr>
        <w:t xml:space="preserve">Ecotoxicological investigations on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poorly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soluble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cosmetic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compounds –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methods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for a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reliable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environmental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risk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assessment</w:t>
      </w:r>
      <w:bookmarkEnd w:id="0"/>
      <w:proofErr w:type="spellEnd"/>
    </w:p>
    <w:p w:rsidR="004F724B" w:rsidRDefault="00D704E9">
      <w:pPr>
        <w:spacing w:after="120"/>
        <w:rPr>
          <w:rFonts w:ascii="Arial" w:hAnsi="Arial" w:cs="Arial"/>
          <w:smallCaps/>
          <w:vertAlign w:val="superscript"/>
          <w:lang w:val="fr-FR"/>
        </w:rPr>
      </w:pPr>
      <w:r>
        <w:rPr>
          <w:rFonts w:ascii="Arial" w:hAnsi="Arial" w:cs="Arial"/>
          <w:smallCaps/>
          <w:u w:val="single"/>
          <w:lang w:val="fr-FR"/>
        </w:rPr>
        <w:t>Felix Stibany</w:t>
      </w:r>
      <w:r>
        <w:rPr>
          <w:rFonts w:ascii="Arial" w:hAnsi="Arial" w:cs="Arial"/>
          <w:smallCaps/>
          <w:u w:val="single"/>
          <w:vertAlign w:val="superscript"/>
          <w:lang w:val="fr-FR"/>
        </w:rPr>
        <w:t>1</w:t>
      </w:r>
      <w:r>
        <w:rPr>
          <w:rFonts w:ascii="Arial" w:hAnsi="Arial" w:cs="Arial"/>
          <w:smallCaps/>
          <w:lang w:val="fr-FR"/>
        </w:rPr>
        <w:t>, Klaus Rettinger</w:t>
      </w:r>
      <w:r>
        <w:rPr>
          <w:rFonts w:ascii="Arial" w:hAnsi="Arial" w:cs="Arial"/>
          <w:smallCaps/>
          <w:vertAlign w:val="superscript"/>
          <w:lang w:val="fr-FR"/>
        </w:rPr>
        <w:t>2</w:t>
      </w:r>
      <w:r>
        <w:rPr>
          <w:rFonts w:ascii="Arial" w:hAnsi="Arial" w:cs="Arial"/>
          <w:smallCaps/>
          <w:lang w:val="fr-FR"/>
        </w:rPr>
        <w:t>, Josef Steber</w:t>
      </w:r>
      <w:r>
        <w:rPr>
          <w:rFonts w:ascii="Arial" w:hAnsi="Arial" w:cs="Arial"/>
          <w:smallCaps/>
          <w:vertAlign w:val="superscript"/>
          <w:lang w:val="fr-FR"/>
        </w:rPr>
        <w:t>2</w:t>
      </w:r>
      <w:r>
        <w:rPr>
          <w:rFonts w:ascii="Arial" w:hAnsi="Arial" w:cs="Arial"/>
          <w:smallCaps/>
          <w:lang w:val="fr-FR"/>
        </w:rPr>
        <w:t>, Anja Coors</w:t>
      </w:r>
      <w:r>
        <w:rPr>
          <w:rFonts w:ascii="Arial" w:hAnsi="Arial" w:cs="Arial"/>
          <w:smallCaps/>
          <w:vertAlign w:val="superscript"/>
          <w:lang w:val="fr-FR"/>
        </w:rPr>
        <w:t>3</w:t>
      </w:r>
      <w:r>
        <w:rPr>
          <w:rFonts w:ascii="Arial" w:hAnsi="Arial" w:cs="Arial"/>
          <w:smallCaps/>
          <w:lang w:val="fr-FR"/>
        </w:rPr>
        <w:t>, Christoph Schulte</w:t>
      </w:r>
      <w:r>
        <w:rPr>
          <w:rFonts w:ascii="Arial" w:hAnsi="Arial" w:cs="Arial"/>
          <w:smallCaps/>
          <w:vertAlign w:val="superscript"/>
          <w:lang w:val="fr-FR"/>
        </w:rPr>
        <w:t>4</w:t>
      </w:r>
      <w:r>
        <w:rPr>
          <w:rFonts w:ascii="Arial" w:hAnsi="Arial" w:cs="Arial"/>
          <w:smallCaps/>
          <w:lang w:val="fr-FR"/>
        </w:rPr>
        <w:t>, Henner Hollert</w:t>
      </w:r>
      <w:r>
        <w:rPr>
          <w:rFonts w:ascii="Arial" w:hAnsi="Arial" w:cs="Arial"/>
          <w:smallCaps/>
          <w:vertAlign w:val="superscript"/>
          <w:lang w:val="fr-FR"/>
        </w:rPr>
        <w:t>1</w:t>
      </w:r>
      <w:r>
        <w:rPr>
          <w:rFonts w:ascii="Arial" w:hAnsi="Arial" w:cs="Arial"/>
          <w:smallCaps/>
          <w:lang w:val="fr-FR"/>
        </w:rPr>
        <w:t>,  Andreas Schaeffer</w:t>
      </w:r>
      <w:r>
        <w:rPr>
          <w:rFonts w:ascii="Arial" w:hAnsi="Arial" w:cs="Arial"/>
          <w:smallCaps/>
          <w:vertAlign w:val="superscript"/>
          <w:lang w:val="fr-FR"/>
        </w:rPr>
        <w:t>1</w:t>
      </w:r>
    </w:p>
    <w:p w:rsidR="004F724B" w:rsidRDefault="00D704E9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vertAlign w:val="superscript"/>
          <w:lang w:val="fr-FR"/>
        </w:rPr>
        <w:t xml:space="preserve">1 </w:t>
      </w:r>
      <w:r>
        <w:rPr>
          <w:rFonts w:ascii="Arial" w:hAnsi="Arial" w:cs="Arial"/>
          <w:sz w:val="18"/>
          <w:szCs w:val="18"/>
          <w:lang w:val="fr-FR"/>
        </w:rPr>
        <w:t xml:space="preserve">RWTH Aachen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University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, Institute for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Environmental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Research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(Bio 5),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Worringerweg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1, 52074 Aachen, Germany, felix.stibany@bio5.rwth-aachen.de </w:t>
      </w:r>
    </w:p>
    <w:p w:rsidR="004F724B" w:rsidRDefault="00D704E9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vertAlign w:val="superscript"/>
          <w:lang w:val="en-US"/>
        </w:rPr>
        <w:t xml:space="preserve">2 </w:t>
      </w:r>
      <w:r>
        <w:rPr>
          <w:rFonts w:ascii="Arial" w:hAnsi="Arial" w:cs="Arial"/>
          <w:sz w:val="18"/>
          <w:szCs w:val="18"/>
          <w:lang w:val="en-US"/>
        </w:rPr>
        <w:t xml:space="preserve">IKW, German Cosmetic Toiletry, Perfumery and Detergent Association,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Mainzer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Landstraße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55, 60329 Frankfurt am Main, Germany</w:t>
      </w:r>
    </w:p>
    <w:p w:rsidR="004F724B" w:rsidRDefault="00D704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ECT </w:t>
      </w:r>
      <w:proofErr w:type="spellStart"/>
      <w:r>
        <w:rPr>
          <w:rFonts w:ascii="Arial" w:hAnsi="Arial" w:cs="Arial"/>
          <w:sz w:val="18"/>
          <w:szCs w:val="18"/>
        </w:rPr>
        <w:t>Oekotoxikologie</w:t>
      </w:r>
      <w:proofErr w:type="spellEnd"/>
      <w:r>
        <w:rPr>
          <w:rFonts w:ascii="Arial" w:hAnsi="Arial" w:cs="Arial"/>
          <w:sz w:val="18"/>
          <w:szCs w:val="18"/>
        </w:rPr>
        <w:t xml:space="preserve"> GmbH, Böttgerstraße 2-14, 65439 Flörsheim, Germany</w:t>
      </w:r>
    </w:p>
    <w:p w:rsidR="004F724B" w:rsidRDefault="00D704E9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>
        <w:rPr>
          <w:rFonts w:ascii="Arial" w:hAnsi="Arial" w:cs="Arial"/>
          <w:sz w:val="18"/>
          <w:szCs w:val="18"/>
          <w:lang w:val="en-US"/>
        </w:rPr>
        <w:t xml:space="preserve"> German Federal Environment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Agency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Wörlitzer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Platz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1, 06844 Dessau-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Roßlau</w:t>
      </w:r>
      <w:proofErr w:type="spellEnd"/>
      <w:r>
        <w:rPr>
          <w:rFonts w:ascii="Arial" w:hAnsi="Arial" w:cs="Arial"/>
          <w:sz w:val="18"/>
          <w:szCs w:val="18"/>
          <w:lang w:val="en-US"/>
        </w:rPr>
        <w:t>, Germany</w:t>
      </w:r>
    </w:p>
    <w:p w:rsidR="004F724B" w:rsidRDefault="004F724B">
      <w:pPr>
        <w:rPr>
          <w:lang w:val="en-US"/>
        </w:rPr>
      </w:pPr>
    </w:p>
    <w:p w:rsidR="004F724B" w:rsidRDefault="00D704E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Cosmetics (also: personal care products) include a broad range of highly hydrophobic compounds that are poorly soluble in water (log KOW &gt; 6, water solubility &lt;&lt; 1 mg/L). Due to the high production volume and their typical ‘rinse off’ application, substantial amounts of these chemicals end up in the waste-water and may subsequently enter aquatic systems. This causes the need for a reliable assessment of their environmental behavior and toxicity, as requested </w:t>
      </w:r>
      <w:r w:rsidR="007705B1">
        <w:rPr>
          <w:rFonts w:ascii="Arial" w:hAnsi="Arial" w:cs="Arial"/>
          <w:sz w:val="20"/>
          <w:szCs w:val="20"/>
          <w:lang w:val="en-US"/>
        </w:rPr>
        <w:t xml:space="preserve">for example </w:t>
      </w:r>
      <w:r>
        <w:rPr>
          <w:rFonts w:ascii="Arial" w:hAnsi="Arial" w:cs="Arial"/>
          <w:sz w:val="20"/>
          <w:szCs w:val="20"/>
          <w:lang w:val="en-US"/>
        </w:rPr>
        <w:t xml:space="preserve">by the European REACH-Regulation. Additionally, these substances </w:t>
      </w:r>
      <w:r w:rsidR="007705B1">
        <w:rPr>
          <w:rFonts w:ascii="Arial" w:hAnsi="Arial" w:cs="Arial"/>
          <w:sz w:val="20"/>
          <w:szCs w:val="20"/>
          <w:lang w:val="en-US"/>
        </w:rPr>
        <w:t>might</w:t>
      </w:r>
      <w:r>
        <w:rPr>
          <w:rFonts w:ascii="Arial" w:hAnsi="Arial" w:cs="Arial"/>
          <w:sz w:val="20"/>
          <w:szCs w:val="20"/>
          <w:lang w:val="en-US"/>
        </w:rPr>
        <w:t xml:space="preserve"> be considered as potential PBT-candidates due to their intrinsic properties. Due to their high lipophilicity, </w:t>
      </w:r>
      <w:r w:rsidR="00C145B1">
        <w:rPr>
          <w:rFonts w:ascii="Arial" w:hAnsi="Arial" w:cs="Arial"/>
          <w:sz w:val="20"/>
          <w:szCs w:val="20"/>
          <w:lang w:val="en-US"/>
        </w:rPr>
        <w:t>and</w:t>
      </w:r>
      <w:r>
        <w:rPr>
          <w:rFonts w:ascii="Arial" w:hAnsi="Arial" w:cs="Arial"/>
          <w:sz w:val="20"/>
          <w:szCs w:val="20"/>
          <w:lang w:val="en-US"/>
        </w:rPr>
        <w:t xml:space="preserve"> extensive adsorption to surfaces like test vessels and organisms, standard ecotoxicity tests are </w:t>
      </w:r>
      <w:r w:rsidR="00C145B1">
        <w:rPr>
          <w:rFonts w:ascii="Arial" w:hAnsi="Arial" w:cs="Arial"/>
          <w:sz w:val="20"/>
          <w:szCs w:val="20"/>
          <w:lang w:val="en-US"/>
        </w:rPr>
        <w:t xml:space="preserve">often </w:t>
      </w:r>
      <w:r>
        <w:rPr>
          <w:rFonts w:ascii="Arial" w:hAnsi="Arial" w:cs="Arial"/>
          <w:sz w:val="20"/>
          <w:szCs w:val="20"/>
          <w:lang w:val="en-US"/>
        </w:rPr>
        <w:t xml:space="preserve">not suitable. </w:t>
      </w:r>
      <w:r w:rsidR="00C145B1">
        <w:rPr>
          <w:rFonts w:ascii="Arial" w:hAnsi="Arial" w:cs="Arial"/>
          <w:sz w:val="20"/>
          <w:szCs w:val="20"/>
          <w:lang w:val="en-US"/>
        </w:rPr>
        <w:t xml:space="preserve">In addition, </w:t>
      </w:r>
      <w:r>
        <w:rPr>
          <w:rFonts w:ascii="Arial" w:hAnsi="Arial" w:cs="Arial"/>
          <w:sz w:val="20"/>
          <w:szCs w:val="20"/>
          <w:lang w:val="en-US"/>
        </w:rPr>
        <w:t>lack of consi</w:t>
      </w:r>
      <w:r w:rsidR="00C145B1">
        <w:rPr>
          <w:rFonts w:ascii="Arial" w:hAnsi="Arial" w:cs="Arial"/>
          <w:sz w:val="20"/>
          <w:szCs w:val="20"/>
          <w:lang w:val="en-US"/>
        </w:rPr>
        <w:t xml:space="preserve">stent, reliable results due to </w:t>
      </w:r>
      <w:r>
        <w:rPr>
          <w:rFonts w:ascii="Arial" w:hAnsi="Arial" w:cs="Arial"/>
          <w:sz w:val="20"/>
          <w:szCs w:val="20"/>
          <w:lang w:val="en-US"/>
        </w:rPr>
        <w:t>the difficulties in maintaining c</w:t>
      </w:r>
      <w:r w:rsidR="00C145B1">
        <w:rPr>
          <w:rFonts w:ascii="Arial" w:hAnsi="Arial" w:cs="Arial"/>
          <w:sz w:val="20"/>
          <w:szCs w:val="20"/>
          <w:lang w:val="en-US"/>
        </w:rPr>
        <w:t>onstant test concentrations may</w:t>
      </w:r>
      <w:r>
        <w:rPr>
          <w:rFonts w:ascii="Arial" w:hAnsi="Arial" w:cs="Arial"/>
          <w:sz w:val="20"/>
          <w:szCs w:val="20"/>
          <w:lang w:val="en-US"/>
        </w:rPr>
        <w:t xml:space="preserve"> lead to improper assessment of possible environmental risks.</w:t>
      </w:r>
    </w:p>
    <w:p w:rsidR="004F724B" w:rsidRDefault="004F724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724B" w:rsidRDefault="00D704E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One approach addressing this problem is the “</w:t>
      </w:r>
      <w:proofErr w:type="gramStart"/>
      <w:r>
        <w:rPr>
          <w:rFonts w:ascii="Arial" w:hAnsi="Arial" w:cs="Arial"/>
          <w:bCs/>
          <w:sz w:val="20"/>
          <w:szCs w:val="20"/>
          <w:lang w:val="en-US"/>
        </w:rPr>
        <w:t>poorly</w:t>
      </w:r>
      <w:proofErr w:type="gramEnd"/>
      <w:r>
        <w:rPr>
          <w:rFonts w:ascii="Arial" w:hAnsi="Arial" w:cs="Arial"/>
          <w:bCs/>
          <w:sz w:val="20"/>
          <w:szCs w:val="20"/>
          <w:lang w:val="en-US"/>
        </w:rPr>
        <w:t xml:space="preserve"> solubles approach” </w:t>
      </w:r>
      <w:r>
        <w:rPr>
          <w:rFonts w:ascii="Arial" w:hAnsi="Arial" w:cs="Arial"/>
          <w:sz w:val="20"/>
          <w:szCs w:val="20"/>
          <w:lang w:val="en-US"/>
        </w:rPr>
        <w:t>proposed by Tolls et al. (2009). It is based upon the ETNC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aqua</w:t>
      </w:r>
      <w:r>
        <w:rPr>
          <w:rFonts w:ascii="Arial" w:hAnsi="Arial" w:cs="Arial"/>
          <w:sz w:val="20"/>
          <w:szCs w:val="20"/>
          <w:lang w:val="en-US"/>
        </w:rPr>
        <w:t xml:space="preserve"> concept (de Wolf et al. 2005) reflecting the results of a statistical analysis of validated ecotoxicological literature data of chemical</w:t>
      </w:r>
      <w:r w:rsidR="00C145B1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. The hypothesis is that substances with a narcotic mode of action and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 water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solubility below a toxicity threshold (ETNC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aqua</w:t>
      </w:r>
      <w:r>
        <w:rPr>
          <w:rFonts w:ascii="Arial" w:hAnsi="Arial" w:cs="Arial"/>
          <w:sz w:val="20"/>
          <w:szCs w:val="20"/>
          <w:lang w:val="en-US"/>
        </w:rPr>
        <w:t xml:space="preserve">) of </w:t>
      </w:r>
      <w:r w:rsidR="00F140B8">
        <w:rPr>
          <w:rFonts w:ascii="Arial" w:hAnsi="Arial" w:cs="Arial"/>
          <w:iCs/>
          <w:sz w:val="20"/>
          <w:szCs w:val="20"/>
          <w:lang w:val="en-US"/>
        </w:rPr>
        <w:t xml:space="preserve">1.9 µg/l </w:t>
      </w:r>
      <w:r>
        <w:rPr>
          <w:rFonts w:ascii="Arial" w:hAnsi="Arial" w:cs="Arial"/>
          <w:sz w:val="20"/>
          <w:szCs w:val="20"/>
          <w:lang w:val="en-US"/>
        </w:rPr>
        <w:t xml:space="preserve">do not exhibit any acute or chronic aquatic toxicity (hydrophobicity cutoff). The aim of this project was to develop ecotoxicological methods and suitable analytics for highly hydrophobic substances, and to </w:t>
      </w:r>
      <w:r w:rsidR="00C145B1">
        <w:rPr>
          <w:rFonts w:ascii="Arial" w:hAnsi="Arial" w:cs="Arial"/>
          <w:sz w:val="20"/>
          <w:szCs w:val="20"/>
          <w:lang w:val="en-US"/>
        </w:rPr>
        <w:t>compare the results with</w:t>
      </w:r>
      <w:r>
        <w:rPr>
          <w:rFonts w:ascii="Arial" w:hAnsi="Arial" w:cs="Arial"/>
          <w:sz w:val="20"/>
          <w:szCs w:val="20"/>
          <w:lang w:val="en-US"/>
        </w:rPr>
        <w:t xml:space="preserve"> the “</w:t>
      </w:r>
      <w:proofErr w:type="gramStart"/>
      <w:r>
        <w:rPr>
          <w:rFonts w:ascii="Arial" w:hAnsi="Arial" w:cs="Arial"/>
          <w:sz w:val="20"/>
          <w:szCs w:val="20"/>
          <w:lang w:val="en-US"/>
        </w:rPr>
        <w:t>poorly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solubles approach” in reference to acute and chronic aquatic ecotoxicity.</w:t>
      </w:r>
    </w:p>
    <w:p w:rsidR="004F724B" w:rsidRDefault="004F724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724B" w:rsidRDefault="00D704E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Dodecylbenzene (DDB)</w:t>
      </w:r>
      <w:r>
        <w:rPr>
          <w:rFonts w:ascii="Arial" w:hAnsi="Arial" w:cs="Arial"/>
          <w:sz w:val="20"/>
          <w:szCs w:val="20"/>
          <w:lang w:val="en-US"/>
        </w:rPr>
        <w:t xml:space="preserve"> has been selected as a model compound exhibiting substance properties </w:t>
      </w:r>
      <w:r w:rsidR="00C145B1">
        <w:rPr>
          <w:rFonts w:ascii="Arial" w:hAnsi="Arial" w:cs="Arial"/>
          <w:sz w:val="20"/>
          <w:szCs w:val="20"/>
          <w:lang w:val="en-US"/>
        </w:rPr>
        <w:t>suitable</w:t>
      </w:r>
      <w:r>
        <w:rPr>
          <w:rFonts w:ascii="Arial" w:hAnsi="Arial" w:cs="Arial"/>
          <w:sz w:val="20"/>
          <w:szCs w:val="20"/>
          <w:lang w:val="en-US"/>
        </w:rPr>
        <w:t xml:space="preserve"> for testing the poorly soluble approach. It is liquid under standard conditions and with a log K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ow</w:t>
      </w:r>
      <w:r>
        <w:rPr>
          <w:rFonts w:ascii="Arial" w:hAnsi="Arial" w:cs="Arial"/>
          <w:sz w:val="20"/>
          <w:szCs w:val="20"/>
          <w:lang w:val="en-US"/>
        </w:rPr>
        <w:t xml:space="preserve"> of 8.65 its hydrophobicity is exceedingly high. Reliable aquatic toxicity data were not available. A method for chemical analysis of DDB using gas chromatography / mass spectrometry (GC/MS)  has been successfully developed and allows concentration measurements of DDB in all tested media, e.g. for solubility studies, exposure confirmations and mass balance determination in ecotoxicological tests.</w:t>
      </w:r>
    </w:p>
    <w:p w:rsidR="004F724B" w:rsidRDefault="004F724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724B" w:rsidRDefault="00D704E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Different passive dosing techniques have been successfully developed and utilized as delivery tools for highly hydrophobic compounds in aquatic ecotoxicity test systems</w:t>
      </w:r>
      <w:r w:rsidR="00C145B1">
        <w:rPr>
          <w:rFonts w:ascii="Arial" w:hAnsi="Arial" w:cs="Arial"/>
          <w:sz w:val="20"/>
          <w:szCs w:val="20"/>
          <w:lang w:val="en-US"/>
        </w:rPr>
        <w:t xml:space="preserve"> (Smith et al. 2010)</w:t>
      </w:r>
      <w:r>
        <w:rPr>
          <w:rFonts w:ascii="Arial" w:hAnsi="Arial" w:cs="Arial"/>
          <w:sz w:val="20"/>
          <w:szCs w:val="20"/>
          <w:lang w:val="en-US"/>
        </w:rPr>
        <w:t>. The advantage of these techniques is the possible controlled release of the test substance from an inert reservoir (i.e. silicone O-rings</w:t>
      </w:r>
      <w:r w:rsidRPr="00F140B8">
        <w:rPr>
          <w:rFonts w:ascii="Arial" w:hAnsi="Arial" w:cs="Arial"/>
          <w:sz w:val="20"/>
          <w:szCs w:val="20"/>
          <w:lang w:val="en-US"/>
        </w:rPr>
        <w:t>)</w:t>
      </w:r>
      <w:r w:rsidR="00F140B8" w:rsidRPr="00F140B8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compensating losses by sorption, dilution, degradation, and volatilization, and the </w:t>
      </w:r>
      <w:r w:rsidRPr="00F140B8">
        <w:rPr>
          <w:rFonts w:ascii="Arial" w:hAnsi="Arial" w:cs="Arial"/>
          <w:sz w:val="20"/>
          <w:szCs w:val="20"/>
          <w:lang w:val="en-US"/>
        </w:rPr>
        <w:t xml:space="preserve">provision </w:t>
      </w:r>
      <w:r>
        <w:rPr>
          <w:rFonts w:ascii="Arial" w:hAnsi="Arial" w:cs="Arial"/>
          <w:sz w:val="20"/>
          <w:szCs w:val="20"/>
          <w:lang w:val="en-US"/>
        </w:rPr>
        <w:t xml:space="preserve">of stable concentrations </w:t>
      </w:r>
      <w:r w:rsidRPr="00F140B8">
        <w:rPr>
          <w:rFonts w:ascii="Arial" w:hAnsi="Arial" w:cs="Arial"/>
          <w:sz w:val="20"/>
          <w:szCs w:val="20"/>
          <w:lang w:val="en-US"/>
        </w:rPr>
        <w:t xml:space="preserve">of </w:t>
      </w:r>
      <w:r w:rsidR="00F140B8" w:rsidRPr="00F140B8">
        <w:rPr>
          <w:rFonts w:ascii="Arial" w:hAnsi="Arial" w:cs="Arial"/>
          <w:sz w:val="20"/>
          <w:szCs w:val="20"/>
          <w:lang w:val="en-US"/>
        </w:rPr>
        <w:t xml:space="preserve">freely </w:t>
      </w:r>
      <w:r w:rsidRPr="00F140B8">
        <w:rPr>
          <w:rFonts w:ascii="Arial" w:hAnsi="Arial" w:cs="Arial"/>
          <w:sz w:val="20"/>
          <w:szCs w:val="20"/>
          <w:lang w:val="en-US"/>
        </w:rPr>
        <w:t xml:space="preserve">dissolved test </w:t>
      </w:r>
      <w:r w:rsidR="00F140B8" w:rsidRPr="00F140B8">
        <w:rPr>
          <w:rFonts w:ascii="Arial" w:hAnsi="Arial" w:cs="Arial"/>
          <w:sz w:val="20"/>
          <w:szCs w:val="20"/>
          <w:lang w:val="en-US"/>
        </w:rPr>
        <w:t>substance</w:t>
      </w:r>
      <w:r w:rsidRPr="00F140B8">
        <w:rPr>
          <w:rFonts w:ascii="Arial" w:hAnsi="Arial" w:cs="Arial"/>
          <w:sz w:val="20"/>
          <w:szCs w:val="20"/>
          <w:lang w:val="en-US"/>
        </w:rPr>
        <w:t xml:space="preserve"> up to its </w:t>
      </w:r>
      <w:r>
        <w:rPr>
          <w:rFonts w:ascii="Arial" w:hAnsi="Arial" w:cs="Arial"/>
          <w:sz w:val="20"/>
          <w:szCs w:val="20"/>
          <w:lang w:val="en-US"/>
        </w:rPr>
        <w:t xml:space="preserve">maximum solubility, </w:t>
      </w:r>
      <w:r w:rsidRPr="00F140B8">
        <w:rPr>
          <w:rFonts w:ascii="Arial" w:hAnsi="Arial" w:cs="Arial"/>
          <w:sz w:val="20"/>
          <w:szCs w:val="20"/>
          <w:lang w:val="en-US"/>
        </w:rPr>
        <w:t>i.e.</w:t>
      </w:r>
      <w:r>
        <w:rPr>
          <w:rFonts w:ascii="Arial" w:hAnsi="Arial" w:cs="Arial"/>
          <w:sz w:val="20"/>
          <w:szCs w:val="20"/>
          <w:lang w:val="en-US"/>
        </w:rPr>
        <w:t xml:space="preserve"> in range of the ETNC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aqua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F724B" w:rsidRDefault="004F724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724B" w:rsidRDefault="00D704E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Different solubility studies of DDB were conducted and different acute and chronic ecotoxicological tests have been performed as proposed by OECD guidelines adapted to passive dosing techniques (acute: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Microtox</w:t>
      </w:r>
      <w:proofErr w:type="spellEnd"/>
      <w:r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>
        <w:rPr>
          <w:rFonts w:ascii="Arial" w:hAnsi="Arial" w:cs="Arial"/>
          <w:sz w:val="20"/>
          <w:szCs w:val="20"/>
          <w:lang w:val="en-US"/>
        </w:rPr>
        <w:t xml:space="preserve"> assay, </w:t>
      </w:r>
      <w:r>
        <w:rPr>
          <w:rFonts w:ascii="Arial" w:hAnsi="Arial" w:cs="Arial"/>
          <w:i/>
          <w:sz w:val="20"/>
          <w:szCs w:val="20"/>
          <w:lang w:val="en-US"/>
        </w:rPr>
        <w:t>Daphnia magna</w:t>
      </w:r>
      <w:r>
        <w:rPr>
          <w:rFonts w:ascii="Arial" w:hAnsi="Arial" w:cs="Arial"/>
          <w:sz w:val="20"/>
          <w:szCs w:val="20"/>
          <w:lang w:val="en-US"/>
        </w:rPr>
        <w:t xml:space="preserve"> immobilization assay, fish embryo acute toxicity test; chronic: algal growth inhibition assay, </w:t>
      </w:r>
      <w:r>
        <w:rPr>
          <w:rFonts w:ascii="Arial" w:hAnsi="Arial" w:cs="Arial"/>
          <w:i/>
          <w:sz w:val="20"/>
          <w:szCs w:val="20"/>
          <w:lang w:val="en-US"/>
        </w:rPr>
        <w:t>Daphnia magna</w:t>
      </w:r>
      <w:r>
        <w:rPr>
          <w:rFonts w:ascii="Arial" w:hAnsi="Arial" w:cs="Arial"/>
          <w:sz w:val="20"/>
          <w:szCs w:val="20"/>
          <w:lang w:val="en-US"/>
        </w:rPr>
        <w:t xml:space="preserve"> reproduction assay). The validation of the results is in progress. </w:t>
      </w:r>
      <w:r w:rsidR="00C145B1">
        <w:rPr>
          <w:rFonts w:ascii="Arial" w:hAnsi="Arial" w:cs="Arial"/>
          <w:sz w:val="20"/>
          <w:szCs w:val="20"/>
          <w:lang w:val="en-US"/>
        </w:rPr>
        <w:t>Finally it will be discussed whether</w:t>
      </w:r>
      <w:r>
        <w:rPr>
          <w:rFonts w:ascii="Arial" w:hAnsi="Arial" w:cs="Arial"/>
          <w:sz w:val="20"/>
          <w:szCs w:val="20"/>
          <w:lang w:val="en-US"/>
        </w:rPr>
        <w:t xml:space="preserve"> the “poorly solubles approach” </w:t>
      </w:r>
      <w:r w:rsidR="00C145B1">
        <w:rPr>
          <w:rFonts w:ascii="Arial" w:hAnsi="Arial" w:cs="Arial"/>
          <w:sz w:val="20"/>
          <w:szCs w:val="20"/>
          <w:lang w:val="en-US"/>
        </w:rPr>
        <w:t>according to</w:t>
      </w:r>
      <w:r>
        <w:rPr>
          <w:rFonts w:ascii="Arial" w:hAnsi="Arial" w:cs="Arial"/>
          <w:sz w:val="20"/>
          <w:szCs w:val="20"/>
          <w:lang w:val="en-US"/>
        </w:rPr>
        <w:t xml:space="preserve"> the ETNC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aqua</w:t>
      </w:r>
      <w:r>
        <w:rPr>
          <w:rFonts w:ascii="Arial" w:hAnsi="Arial" w:cs="Arial"/>
          <w:sz w:val="20"/>
          <w:szCs w:val="20"/>
          <w:lang w:val="en-US"/>
        </w:rPr>
        <w:t xml:space="preserve"> hypothesis </w:t>
      </w:r>
      <w:r w:rsidR="00C145B1">
        <w:rPr>
          <w:rFonts w:ascii="Arial" w:hAnsi="Arial" w:cs="Arial"/>
          <w:sz w:val="20"/>
          <w:szCs w:val="20"/>
          <w:lang w:val="en-US"/>
        </w:rPr>
        <w:t>might be applicable for this model substance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F724B" w:rsidRDefault="004F724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724B" w:rsidRDefault="004F724B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F724B" w:rsidRDefault="00D704E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Tolls J., Müller M., Willing A., Steber J., 2009,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New Concept for the Environmental Risk Assessment of Poorly Water Soluble Compounds and Its Application to Consumer Products, Integrated Environmental Assessment and Management (5) 274-378.</w:t>
      </w:r>
    </w:p>
    <w:p w:rsidR="004F724B" w:rsidRDefault="00D704E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 Wolf W, Siebel-Sauer 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Lecloux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A, Koch V, Holt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Feijtel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T, Comber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Boeije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G. 2005.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Mode of action and aquatic exposure threshold of no concern.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Environmental Toxicology and Chemistry 24 (479 - 485).</w:t>
      </w:r>
    </w:p>
    <w:p w:rsidR="004F724B" w:rsidRPr="000B0B4E" w:rsidRDefault="00C145B1" w:rsidP="000B0B4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145B1">
        <w:rPr>
          <w:rFonts w:ascii="Arial" w:hAnsi="Arial" w:cs="Arial"/>
          <w:sz w:val="20"/>
          <w:szCs w:val="20"/>
          <w:lang w:val="en-US"/>
        </w:rPr>
        <w:t xml:space="preserve">Smith K.E.C., </w:t>
      </w:r>
      <w:proofErr w:type="spellStart"/>
      <w:r w:rsidRPr="00C145B1">
        <w:rPr>
          <w:rFonts w:ascii="Arial" w:hAnsi="Arial" w:cs="Arial"/>
          <w:sz w:val="20"/>
          <w:szCs w:val="20"/>
          <w:lang w:val="en-US"/>
        </w:rPr>
        <w:t>Oostingh</w:t>
      </w:r>
      <w:proofErr w:type="spellEnd"/>
      <w:r w:rsidRPr="00C145B1">
        <w:rPr>
          <w:rFonts w:ascii="Arial" w:hAnsi="Arial" w:cs="Arial"/>
          <w:sz w:val="20"/>
          <w:szCs w:val="20"/>
          <w:lang w:val="en-US"/>
        </w:rPr>
        <w:t xml:space="preserve"> G.J., Mayer P., 2010, Passive Dosing for Producing Defined and Constant Exposure of Hydrophobic Organic Compounds during in Vitro Toxicity Tests, Chemical Research in Toxicology (23), 55-65.</w:t>
      </w:r>
    </w:p>
    <w:sectPr w:rsidR="004F724B" w:rsidRPr="000B0B4E">
      <w:pgSz w:w="11905" w:h="16837"/>
      <w:pgMar w:top="1418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3"/>
    <w:rsid w:val="000B0B4E"/>
    <w:rsid w:val="004F724B"/>
    <w:rsid w:val="007705B1"/>
    <w:rsid w:val="008F1EA3"/>
    <w:rsid w:val="00C145B1"/>
    <w:rsid w:val="00C14C26"/>
    <w:rsid w:val="00D704E9"/>
    <w:rsid w:val="00F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stenabsatz1">
    <w:name w:val="Listenabsatz1"/>
    <w:basedOn w:val="Standard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04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4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4E9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4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4E9"/>
    <w:rPr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4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4E9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stenabsatz1">
    <w:name w:val="Listenabsatz1"/>
    <w:basedOn w:val="Standard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04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4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4E9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4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4E9"/>
    <w:rPr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4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4E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Stibany</dc:creator>
  <cp:lastModifiedBy>Felix</cp:lastModifiedBy>
  <cp:revision>2</cp:revision>
  <cp:lastPrinted>1900-12-31T22:00:00Z</cp:lastPrinted>
  <dcterms:created xsi:type="dcterms:W3CDTF">2015-05-19T15:26:00Z</dcterms:created>
  <dcterms:modified xsi:type="dcterms:W3CDTF">2015-05-19T15:26:00Z</dcterms:modified>
</cp:coreProperties>
</file>