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12" w:rsidRPr="00C6772F" w:rsidRDefault="00EF2D8F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  <w:r w:rsidRPr="00EF2D8F">
        <w:rPr>
          <w:rFonts w:ascii="Arial" w:hAnsi="Arial" w:cs="Arial"/>
          <w:b/>
          <w:noProof/>
          <w:sz w:val="28"/>
          <w:szCs w:val="28"/>
          <w:lang w:val="fr-FR"/>
        </w:rPr>
        <w:t xml:space="preserve">Optimisation and calibration of </w:t>
      </w:r>
      <w:r w:rsidR="009C0EE8">
        <w:rPr>
          <w:rFonts w:ascii="Arial" w:hAnsi="Arial" w:cs="Arial"/>
          <w:b/>
          <w:noProof/>
          <w:sz w:val="28"/>
          <w:szCs w:val="28"/>
          <w:lang w:val="fr-FR"/>
        </w:rPr>
        <w:t xml:space="preserve">a </w:t>
      </w:r>
      <w:r w:rsidRPr="00EF2D8F">
        <w:rPr>
          <w:rFonts w:ascii="Arial" w:hAnsi="Arial" w:cs="Arial"/>
          <w:b/>
          <w:noProof/>
          <w:sz w:val="28"/>
          <w:szCs w:val="28"/>
          <w:lang w:val="fr-FR"/>
        </w:rPr>
        <w:t>novel passive sampler based on diffusion gradient in thin films for polar</w:t>
      </w:r>
      <w:r w:rsidR="00C6772F">
        <w:rPr>
          <w:rFonts w:ascii="Arial" w:hAnsi="Arial" w:cs="Arial"/>
          <w:b/>
          <w:noProof/>
          <w:sz w:val="28"/>
          <w:szCs w:val="28"/>
          <w:lang w:val="fr-FR"/>
        </w:rPr>
        <w:t xml:space="preserve"> organic</w:t>
      </w:r>
      <w:r w:rsidRPr="00EF2D8F">
        <w:rPr>
          <w:rFonts w:ascii="Arial" w:hAnsi="Arial" w:cs="Arial"/>
          <w:b/>
          <w:noProof/>
          <w:sz w:val="28"/>
          <w:szCs w:val="28"/>
          <w:lang w:val="fr-FR"/>
        </w:rPr>
        <w:t xml:space="preserve"> compounds</w:t>
      </w:r>
      <w:r w:rsidR="00C6772F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 w:rsidR="00C6772F" w:rsidRPr="00EF2D8F">
        <w:rPr>
          <w:rFonts w:ascii="Arial" w:hAnsi="Arial" w:cs="Arial"/>
          <w:b/>
          <w:noProof/>
          <w:sz w:val="28"/>
          <w:szCs w:val="28"/>
          <w:lang w:val="fr-FR"/>
        </w:rPr>
        <w:t>(</w:t>
      </w:r>
      <w:r w:rsidR="00C6772F">
        <w:rPr>
          <w:rFonts w:ascii="Arial" w:hAnsi="Arial" w:cs="Arial"/>
          <w:b/>
          <w:noProof/>
          <w:sz w:val="28"/>
          <w:szCs w:val="28"/>
          <w:lang w:val="fr-FR"/>
        </w:rPr>
        <w:t>o-</w:t>
      </w:r>
      <w:r w:rsidR="00C6772F" w:rsidRPr="00EF2D8F">
        <w:rPr>
          <w:rFonts w:ascii="Arial" w:hAnsi="Arial" w:cs="Arial"/>
          <w:b/>
          <w:noProof/>
          <w:sz w:val="28"/>
          <w:szCs w:val="28"/>
          <w:lang w:val="fr-FR"/>
        </w:rPr>
        <w:t>DGT)</w:t>
      </w:r>
    </w:p>
    <w:p w:rsidR="00DF6705" w:rsidRPr="009C0EE8" w:rsidRDefault="00CB4DB3" w:rsidP="00DF6705">
      <w:pPr>
        <w:spacing w:after="120"/>
        <w:rPr>
          <w:rFonts w:ascii="Arial" w:hAnsi="Arial" w:cs="Arial"/>
          <w:smallCaps/>
          <w:noProof/>
          <w:lang w:val="en-US"/>
        </w:rPr>
      </w:pPr>
      <w:r>
        <w:rPr>
          <w:rFonts w:ascii="Arial" w:hAnsi="Arial" w:cs="Arial"/>
          <w:smallCaps/>
          <w:noProof/>
          <w:u w:val="single"/>
          <w:vertAlign w:val="superscript"/>
          <w:lang w:val="en-US"/>
        </w:rPr>
        <w:t>1</w:t>
      </w:r>
      <w:r w:rsidR="00EF2D8F" w:rsidRPr="007824EE">
        <w:rPr>
          <w:rFonts w:ascii="Arial" w:hAnsi="Arial" w:cs="Arial"/>
          <w:smallCaps/>
          <w:noProof/>
          <w:u w:val="single"/>
          <w:lang w:val="en-US"/>
        </w:rPr>
        <w:t>Jakub Urík</w:t>
      </w:r>
      <w:r w:rsidR="00DD1B89">
        <w:rPr>
          <w:rFonts w:ascii="Arial" w:hAnsi="Arial" w:cs="Arial"/>
          <w:smallCaps/>
          <w:noProof/>
          <w:lang w:val="en-US"/>
        </w:rPr>
        <w:t xml:space="preserve">; </w:t>
      </w:r>
      <w:r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D1B89">
        <w:rPr>
          <w:rFonts w:ascii="Arial" w:hAnsi="Arial" w:cs="Arial"/>
          <w:smallCaps/>
          <w:noProof/>
          <w:lang w:val="en-US"/>
        </w:rPr>
        <w:t xml:space="preserve">Jitka Bečanová; </w:t>
      </w:r>
      <w:r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D1B89">
        <w:rPr>
          <w:rFonts w:ascii="Arial" w:hAnsi="Arial" w:cs="Arial"/>
          <w:smallCaps/>
          <w:noProof/>
          <w:lang w:val="en-US"/>
        </w:rPr>
        <w:t xml:space="preserve">Pavlína Karásková; </w:t>
      </w:r>
      <w:r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D1B89">
        <w:rPr>
          <w:rFonts w:ascii="Arial" w:hAnsi="Arial" w:cs="Arial"/>
          <w:smallCaps/>
          <w:noProof/>
          <w:lang w:val="en-US"/>
        </w:rPr>
        <w:t>Kateřina Švecová</w:t>
      </w:r>
      <w:r w:rsidR="009505FE">
        <w:rPr>
          <w:rFonts w:ascii="Arial" w:hAnsi="Arial" w:cs="Arial"/>
          <w:smallCaps/>
          <w:noProof/>
          <w:lang w:val="en-US"/>
        </w:rPr>
        <w:t>;</w:t>
      </w:r>
      <w:r w:rsidR="00A56350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A56350">
        <w:rPr>
          <w:rFonts w:ascii="Arial" w:hAnsi="Arial" w:cs="Arial"/>
          <w:smallCaps/>
          <w:noProof/>
          <w:lang w:val="en-US"/>
        </w:rPr>
        <w:t>Foppe Smedes,</w:t>
      </w:r>
      <w:r w:rsidR="009505FE" w:rsidRPr="009505FE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9505FE">
        <w:rPr>
          <w:rFonts w:ascii="Arial" w:hAnsi="Arial" w:cs="Arial"/>
          <w:smallCaps/>
          <w:noProof/>
          <w:lang w:val="en-US"/>
        </w:rPr>
        <w:t>Branislav Vrana</w:t>
      </w:r>
    </w:p>
    <w:p w:rsidR="00EF4B2F" w:rsidRDefault="007824EE" w:rsidP="007824EE">
      <w:pPr>
        <w:rPr>
          <w:rFonts w:ascii="Arial" w:hAnsi="Arial" w:cs="Arial"/>
          <w:noProof/>
          <w:sz w:val="18"/>
          <w:szCs w:val="18"/>
          <w:lang w:val="en-US"/>
        </w:rPr>
      </w:pPr>
      <w:r w:rsidRPr="007824EE">
        <w:rPr>
          <w:rFonts w:ascii="Arial" w:hAnsi="Arial" w:cs="Arial"/>
          <w:noProof/>
          <w:sz w:val="18"/>
          <w:szCs w:val="18"/>
          <w:lang w:val="en-US"/>
        </w:rPr>
        <w:t>Research Centre for Toxic Compounds in the Environment</w:t>
      </w:r>
      <w:r>
        <w:rPr>
          <w:rFonts w:ascii="Arial" w:hAnsi="Arial" w:cs="Arial"/>
          <w:noProof/>
          <w:sz w:val="18"/>
          <w:szCs w:val="18"/>
          <w:lang w:val="en-US"/>
        </w:rPr>
        <w:t>; Kamenice 753/5;</w:t>
      </w:r>
      <w:r w:rsidRPr="007824EE">
        <w:rPr>
          <w:rFonts w:ascii="Arial" w:hAnsi="Arial" w:cs="Arial"/>
          <w:noProof/>
          <w:sz w:val="18"/>
          <w:szCs w:val="18"/>
          <w:lang w:val="en-US"/>
        </w:rPr>
        <w:t xml:space="preserve"> 625 00 Brno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; </w:t>
      </w:r>
      <w:r w:rsidRPr="007824EE">
        <w:rPr>
          <w:rFonts w:ascii="Arial" w:hAnsi="Arial" w:cs="Arial"/>
          <w:noProof/>
          <w:sz w:val="18"/>
          <w:szCs w:val="18"/>
          <w:lang w:val="en-US"/>
        </w:rPr>
        <w:t>Czech Republic</w:t>
      </w:r>
    </w:p>
    <w:p w:rsidR="00DF6705" w:rsidRPr="00C6772F" w:rsidRDefault="005C0A03" w:rsidP="007824EE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t>urik@recetox.muni.cz</w:t>
      </w:r>
    </w:p>
    <w:p w:rsidR="00241318" w:rsidRPr="00C6772F" w:rsidRDefault="00241318">
      <w:pPr>
        <w:rPr>
          <w:lang w:val="en-US"/>
        </w:rPr>
      </w:pPr>
    </w:p>
    <w:p w:rsidR="00C54F4B" w:rsidRDefault="00EF2D8F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P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assive samplers are useful tools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for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 sampling of trace pollutants in the environment. Concentrations of polar organic compounds in waters acquired by currently mostly used passive samplers such as POCIS are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 xml:space="preserve">however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semiquantitative, 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due to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a strong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 depend</w:t>
      </w:r>
      <w:r w:rsidR="0026291E">
        <w:rPr>
          <w:rFonts w:ascii="Arial" w:hAnsi="Arial" w:cs="Arial"/>
          <w:noProof/>
          <w:sz w:val="20"/>
          <w:szCs w:val="20"/>
          <w:lang w:val="fr-FR"/>
        </w:rPr>
        <w:t>e</w:t>
      </w:r>
      <w:r w:rsidR="00400EDD">
        <w:rPr>
          <w:rFonts w:ascii="Arial" w:hAnsi="Arial" w:cs="Arial"/>
          <w:noProof/>
          <w:sz w:val="20"/>
          <w:szCs w:val="20"/>
          <w:lang w:val="fr-FR"/>
        </w:rPr>
        <w:t>n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>ce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of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uptake rates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 on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 xml:space="preserve">the variable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hydrodynamic conditions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and/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>or sorption of analytes to the membrane material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>s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eparating the sorbent from the aquous phase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. Sampling rates acquired by laboratory calibrations may therefore differ from the actual sampling rates in the field. 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Application of a thin diffusion layer of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hydrogel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, which behaves as an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immobilized water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 layer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on top of the sampling surface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,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may 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help to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 xml:space="preserve">control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analyte uptake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rate</w:t>
      </w:r>
      <w:r w:rsidR="009A4132">
        <w:rPr>
          <w:rFonts w:ascii="Arial" w:hAnsi="Arial" w:cs="Arial"/>
          <w:noProof/>
          <w:sz w:val="20"/>
          <w:szCs w:val="20"/>
          <w:lang w:val="fr-FR"/>
        </w:rPr>
        <w:t>,</w:t>
      </w:r>
      <w:r w:rsidR="003F324A" w:rsidRPr="003F324A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 xml:space="preserve">eliminating the </w:t>
      </w:r>
      <w:r w:rsidR="003F324A" w:rsidRPr="00EF2D8F">
        <w:rPr>
          <w:rFonts w:ascii="Arial" w:hAnsi="Arial" w:cs="Arial"/>
          <w:noProof/>
          <w:sz w:val="20"/>
          <w:szCs w:val="20"/>
          <w:lang w:val="fr-FR"/>
        </w:rPr>
        <w:t xml:space="preserve">effect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hydronamic conditons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>Recen</w:t>
      </w:r>
      <w:r w:rsidR="00A56350">
        <w:rPr>
          <w:rFonts w:ascii="Arial" w:hAnsi="Arial" w:cs="Arial"/>
          <w:noProof/>
          <w:sz w:val="20"/>
          <w:szCs w:val="20"/>
          <w:lang w:val="fr-FR"/>
        </w:rPr>
        <w:t>t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ly, a promising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sampler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 design has been proposed</w:t>
      </w:r>
      <w:r w:rsidR="00187F97">
        <w:rPr>
          <w:rFonts w:ascii="Arial" w:hAnsi="Arial" w:cs="Arial"/>
          <w:noProof/>
          <w:sz w:val="20"/>
          <w:szCs w:val="20"/>
          <w:lang w:val="fr-FR"/>
        </w:rPr>
        <w:t xml:space="preserve"> (</w:t>
      </w:r>
      <w:r w:rsidR="00187F97">
        <w:rPr>
          <w:rFonts w:ascii="Arial" w:hAnsi="Arial" w:cs="Arial"/>
          <w:smallCaps/>
          <w:noProof/>
          <w:sz w:val="20"/>
          <w:szCs w:val="20"/>
          <w:lang w:val="fr-FR"/>
        </w:rPr>
        <w:t xml:space="preserve">Chen et al. </w:t>
      </w:r>
      <w:r w:rsidR="00187F97">
        <w:rPr>
          <w:rFonts w:ascii="Arial" w:hAnsi="Arial" w:cs="Arial"/>
          <w:noProof/>
          <w:sz w:val="20"/>
          <w:szCs w:val="20"/>
          <w:lang w:val="fr-FR"/>
        </w:rPr>
        <w:t>2012)</w:t>
      </w:r>
      <w:r w:rsidRPr="00187F97">
        <w:rPr>
          <w:rFonts w:ascii="Arial" w:hAnsi="Arial" w:cs="Arial"/>
          <w:noProof/>
          <w:sz w:val="20"/>
          <w:szCs w:val="20"/>
          <w:lang w:val="fr-FR"/>
        </w:rPr>
        <w:t>,</w:t>
      </w:r>
      <w:r w:rsidR="00DD1B89" w:rsidRPr="00187F97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which is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based on DGT sampler commonly used for sampling of metals in waters</w:t>
      </w:r>
      <w:r w:rsidR="00A56350">
        <w:rPr>
          <w:rFonts w:ascii="Arial" w:hAnsi="Arial" w:cs="Arial"/>
          <w:noProof/>
          <w:sz w:val="20"/>
          <w:szCs w:val="20"/>
          <w:lang w:val="fr-FR"/>
        </w:rPr>
        <w:t>. The s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>a</w:t>
      </w:r>
      <w:r w:rsidR="00A56350">
        <w:rPr>
          <w:rFonts w:ascii="Arial" w:hAnsi="Arial" w:cs="Arial"/>
          <w:noProof/>
          <w:sz w:val="20"/>
          <w:szCs w:val="20"/>
          <w:lang w:val="fr-FR"/>
        </w:rPr>
        <w:t>m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pler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consists of agarose hydrogel</w:t>
      </w:r>
      <w:r w:rsidR="00DD1B89">
        <w:rPr>
          <w:rFonts w:ascii="Arial" w:hAnsi="Arial" w:cs="Arial"/>
          <w:noProof/>
          <w:sz w:val="20"/>
          <w:szCs w:val="20"/>
          <w:lang w:val="fr-FR"/>
        </w:rPr>
        <w:t xml:space="preserve"> layer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with dispersed sorbent and a diffusion layer of pure agarose hydrogel.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F</w:t>
      </w:r>
      <w:r w:rsidR="003F324A" w:rsidRPr="00EF2D8F">
        <w:rPr>
          <w:rFonts w:ascii="Arial" w:hAnsi="Arial" w:cs="Arial"/>
          <w:noProof/>
          <w:sz w:val="20"/>
          <w:szCs w:val="20"/>
          <w:lang w:val="fr-FR"/>
        </w:rPr>
        <w:t>or accurate calibration</w:t>
      </w:r>
      <w:r w:rsidR="009A4132">
        <w:rPr>
          <w:rFonts w:ascii="Arial" w:hAnsi="Arial" w:cs="Arial"/>
          <w:noProof/>
          <w:sz w:val="20"/>
          <w:szCs w:val="20"/>
          <w:lang w:val="fr-FR"/>
        </w:rPr>
        <w:t>,</w:t>
      </w:r>
      <w:r w:rsidR="003F324A" w:rsidRPr="00EF2D8F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d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iffusion coefficients of each compound in the hydrogel are </w:t>
      </w:r>
      <w:r w:rsidR="00577285">
        <w:rPr>
          <w:rFonts w:ascii="Arial" w:hAnsi="Arial" w:cs="Arial"/>
          <w:noProof/>
          <w:sz w:val="20"/>
          <w:szCs w:val="20"/>
          <w:lang w:val="fr-FR"/>
        </w:rPr>
        <w:t>required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. Results of diffusion coefficient measur</w:t>
      </w:r>
      <w:r w:rsidR="00A56350">
        <w:rPr>
          <w:rFonts w:ascii="Arial" w:hAnsi="Arial" w:cs="Arial"/>
          <w:noProof/>
          <w:sz w:val="20"/>
          <w:szCs w:val="20"/>
          <w:lang w:val="fr-FR"/>
        </w:rPr>
        <w:t>e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ment 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>from the migration of th</w:t>
      </w:r>
      <w:r w:rsidR="009A4132">
        <w:rPr>
          <w:rFonts w:ascii="Arial" w:hAnsi="Arial" w:cs="Arial"/>
          <w:noProof/>
          <w:sz w:val="20"/>
          <w:szCs w:val="20"/>
          <w:lang w:val="fr-FR"/>
        </w:rPr>
        <w:t>e</w:t>
      </w:r>
      <w:r w:rsidR="003F324A">
        <w:rPr>
          <w:rFonts w:ascii="Arial" w:hAnsi="Arial" w:cs="Arial"/>
          <w:noProof/>
          <w:sz w:val="20"/>
          <w:szCs w:val="20"/>
          <w:lang w:val="fr-FR"/>
        </w:rPr>
        <w:t xml:space="preserve"> ecompounds in a stackof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 several hydrogel layers will be presented along with results of laboratory calibration experiments with different water flow rates in</w:t>
      </w:r>
      <w:r w:rsidR="00577285">
        <w:rPr>
          <w:rFonts w:ascii="Arial" w:hAnsi="Arial" w:cs="Arial"/>
          <w:noProof/>
          <w:sz w:val="20"/>
          <w:szCs w:val="20"/>
          <w:lang w:val="fr-FR"/>
        </w:rPr>
        <w:t xml:space="preserve"> an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artificial flow-through system and different hydrogel thicknesses</w:t>
      </w:r>
      <w:r w:rsidR="00577285">
        <w:rPr>
          <w:rFonts w:ascii="Arial" w:hAnsi="Arial" w:cs="Arial"/>
          <w:noProof/>
          <w:sz w:val="20"/>
          <w:szCs w:val="20"/>
          <w:lang w:val="fr-FR"/>
        </w:rPr>
        <w:t xml:space="preserve"> for d</w:t>
      </w:r>
      <w:bookmarkStart w:id="0" w:name="_GoBack"/>
      <w:bookmarkEnd w:id="0"/>
      <w:r w:rsidRPr="00EF2D8F">
        <w:rPr>
          <w:rFonts w:ascii="Arial" w:hAnsi="Arial" w:cs="Arial"/>
          <w:noProof/>
          <w:sz w:val="20"/>
          <w:szCs w:val="20"/>
          <w:lang w:val="fr-FR"/>
        </w:rPr>
        <w:t>ifferent groups of emerging pollutants</w:t>
      </w:r>
      <w:r w:rsidR="00577285">
        <w:rPr>
          <w:rFonts w:ascii="Arial" w:hAnsi="Arial" w:cs="Arial"/>
          <w:noProof/>
          <w:sz w:val="20"/>
          <w:szCs w:val="20"/>
          <w:lang w:val="fr-FR"/>
        </w:rPr>
        <w:t xml:space="preserve"> including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perfluorinated compounds,</w:t>
      </w:r>
      <w:r w:rsidR="00C435FA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577285">
        <w:rPr>
          <w:rFonts w:ascii="Arial" w:hAnsi="Arial" w:cs="Arial"/>
          <w:noProof/>
          <w:sz w:val="20"/>
          <w:szCs w:val="20"/>
          <w:lang w:val="fr-FR"/>
        </w:rPr>
        <w:t xml:space="preserve">currently used 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>pesticides</w:t>
      </w:r>
      <w:r w:rsidR="00577285">
        <w:rPr>
          <w:rFonts w:ascii="Arial" w:hAnsi="Arial" w:cs="Arial"/>
          <w:noProof/>
          <w:sz w:val="20"/>
          <w:szCs w:val="20"/>
          <w:lang w:val="fr-FR"/>
        </w:rPr>
        <w:t>,</w:t>
      </w:r>
      <w:r w:rsidRPr="00EF2D8F">
        <w:rPr>
          <w:rFonts w:ascii="Arial" w:hAnsi="Arial" w:cs="Arial"/>
          <w:noProof/>
          <w:sz w:val="20"/>
          <w:szCs w:val="20"/>
          <w:lang w:val="fr-FR"/>
        </w:rPr>
        <w:t xml:space="preserve"> pharmaceuticals and personal care products</w:t>
      </w:r>
      <w:r w:rsidR="00577285">
        <w:rPr>
          <w:rFonts w:ascii="Arial" w:hAnsi="Arial" w:cs="Arial"/>
          <w:noProof/>
          <w:sz w:val="20"/>
          <w:szCs w:val="20"/>
          <w:lang w:val="fr-FR"/>
        </w:rPr>
        <w:t>.</w:t>
      </w:r>
    </w:p>
    <w:p w:rsid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References :</w:t>
      </w:r>
    </w:p>
    <w:p w:rsid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205557">
        <w:rPr>
          <w:rFonts w:ascii="Arial" w:hAnsi="Arial" w:cs="Arial"/>
          <w:noProof/>
          <w:sz w:val="20"/>
          <w:szCs w:val="20"/>
          <w:lang w:val="fr-FR"/>
        </w:rPr>
        <w:t xml:space="preserve">Chen C.-E., Zhang H., and Jones K. C., A novel passive water sampler for in situ sampling of antibiotics., </w:t>
      </w:r>
      <w:r>
        <w:rPr>
          <w:rFonts w:ascii="Arial" w:hAnsi="Arial" w:cs="Arial"/>
          <w:noProof/>
          <w:sz w:val="20"/>
          <w:szCs w:val="20"/>
          <w:lang w:val="fr-FR"/>
        </w:rPr>
        <w:br/>
        <w:t xml:space="preserve">J. Environ. Monit., </w:t>
      </w:r>
      <w:r w:rsidRPr="00205557">
        <w:rPr>
          <w:rFonts w:ascii="Arial" w:hAnsi="Arial" w:cs="Arial"/>
          <w:noProof/>
          <w:sz w:val="20"/>
          <w:szCs w:val="20"/>
          <w:lang w:val="fr-FR"/>
        </w:rPr>
        <w:t>2012, 14, 1523–30.</w:t>
      </w:r>
    </w:p>
    <w:p w:rsid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205557" w:rsidRP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205557">
        <w:rPr>
          <w:rFonts w:ascii="Arial" w:hAnsi="Arial" w:cs="Arial"/>
          <w:noProof/>
          <w:sz w:val="20"/>
          <w:szCs w:val="20"/>
          <w:lang w:val="fr-FR"/>
        </w:rPr>
        <w:t>Acknowledgments</w:t>
      </w:r>
    </w:p>
    <w:p w:rsid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205557" w:rsidRDefault="00205557" w:rsidP="00205557">
      <w:pPr>
        <w:pStyle w:val="Default"/>
        <w:jc w:val="both"/>
        <w:rPr>
          <w:sz w:val="16"/>
          <w:szCs w:val="16"/>
        </w:rPr>
      </w:pPr>
      <w:r w:rsidRPr="0006319C">
        <w:rPr>
          <w:color w:val="auto"/>
          <w:sz w:val="18"/>
          <w:szCs w:val="18"/>
          <w:lang w:val="en-US"/>
        </w:rPr>
        <w:t>The project (TB030MZP001/EMERTOX) received financial support from the Technology Agency of the Czech Republic</w:t>
      </w:r>
      <w:r>
        <w:rPr>
          <w:color w:val="auto"/>
          <w:sz w:val="18"/>
          <w:szCs w:val="18"/>
          <w:lang w:val="en-US"/>
        </w:rPr>
        <w:t xml:space="preserve"> (TACR)</w:t>
      </w:r>
      <w:r w:rsidRPr="0006319C">
        <w:rPr>
          <w:color w:val="auto"/>
          <w:sz w:val="18"/>
          <w:szCs w:val="18"/>
          <w:lang w:val="en-US"/>
        </w:rPr>
        <w:t>. The RECETOX research infrastructure was supported by the projects of the Czech Ministry of Education (LO1214) and (LM2011028).</w:t>
      </w:r>
    </w:p>
    <w:p w:rsid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:rsidR="00205557" w:rsidRPr="00205557" w:rsidRDefault="00205557" w:rsidP="00C54F4B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sectPr w:rsidR="00205557" w:rsidRPr="00205557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4F3F40"/>
    <w:rsid w:val="000F7DDD"/>
    <w:rsid w:val="00187F97"/>
    <w:rsid w:val="001A6F72"/>
    <w:rsid w:val="001C0511"/>
    <w:rsid w:val="001C1570"/>
    <w:rsid w:val="001F4812"/>
    <w:rsid w:val="00205557"/>
    <w:rsid w:val="00241318"/>
    <w:rsid w:val="0026291E"/>
    <w:rsid w:val="0026605A"/>
    <w:rsid w:val="003F324A"/>
    <w:rsid w:val="00400EDD"/>
    <w:rsid w:val="00423D62"/>
    <w:rsid w:val="00455675"/>
    <w:rsid w:val="00455DBB"/>
    <w:rsid w:val="004B2CE5"/>
    <w:rsid w:val="004D435C"/>
    <w:rsid w:val="004F3F40"/>
    <w:rsid w:val="00536439"/>
    <w:rsid w:val="00577285"/>
    <w:rsid w:val="005A7B0D"/>
    <w:rsid w:val="005C0A03"/>
    <w:rsid w:val="005F142B"/>
    <w:rsid w:val="00625E2F"/>
    <w:rsid w:val="006767F0"/>
    <w:rsid w:val="007824EE"/>
    <w:rsid w:val="008C47B6"/>
    <w:rsid w:val="008E1BB9"/>
    <w:rsid w:val="009505FE"/>
    <w:rsid w:val="009A4132"/>
    <w:rsid w:val="009B473C"/>
    <w:rsid w:val="009C0EE8"/>
    <w:rsid w:val="00A34C75"/>
    <w:rsid w:val="00A377E4"/>
    <w:rsid w:val="00A4450B"/>
    <w:rsid w:val="00A56350"/>
    <w:rsid w:val="00B10E8D"/>
    <w:rsid w:val="00B234AA"/>
    <w:rsid w:val="00BB51C3"/>
    <w:rsid w:val="00C22D80"/>
    <w:rsid w:val="00C3684D"/>
    <w:rsid w:val="00C435FA"/>
    <w:rsid w:val="00C54F4B"/>
    <w:rsid w:val="00C6772F"/>
    <w:rsid w:val="00CB4DB3"/>
    <w:rsid w:val="00D2223F"/>
    <w:rsid w:val="00DD1B89"/>
    <w:rsid w:val="00DF095F"/>
    <w:rsid w:val="00DF6705"/>
    <w:rsid w:val="00E05237"/>
    <w:rsid w:val="00E26724"/>
    <w:rsid w:val="00ED71DE"/>
    <w:rsid w:val="00EF2D8F"/>
    <w:rsid w:val="00EF4B2F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4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055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CE3C-970D-4216-B2C6-C7C4B9AE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HP</Company>
  <LinksUpToDate>false</LinksUpToDate>
  <CharactersWithSpaces>2347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vrana</cp:lastModifiedBy>
  <cp:revision>2</cp:revision>
  <dcterms:created xsi:type="dcterms:W3CDTF">2015-05-19T11:53:00Z</dcterms:created>
  <dcterms:modified xsi:type="dcterms:W3CDTF">2015-05-19T11:53:00Z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