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131" w:rsidRDefault="008474E7" w:rsidP="00E52131">
      <w:pPr>
        <w:spacing w:after="120"/>
        <w:rPr>
          <w:rFonts w:ascii="Arial" w:hAnsi="Arial" w:cs="Arial"/>
          <w:b/>
          <w:noProof/>
          <w:sz w:val="28"/>
          <w:szCs w:val="28"/>
          <w:lang w:val="en-US"/>
        </w:rPr>
      </w:pPr>
      <w:r>
        <w:rPr>
          <w:rFonts w:ascii="Arial" w:hAnsi="Arial" w:cs="Arial"/>
          <w:b/>
          <w:noProof/>
          <w:sz w:val="28"/>
          <w:szCs w:val="28"/>
          <w:lang w:val="en-US"/>
        </w:rPr>
        <w:t>Chemical</w:t>
      </w:r>
      <w:r w:rsidR="00A74631">
        <w:rPr>
          <w:rFonts w:ascii="Arial" w:hAnsi="Arial" w:cs="Arial"/>
          <w:b/>
          <w:noProof/>
          <w:sz w:val="28"/>
          <w:szCs w:val="28"/>
          <w:lang w:val="en-US"/>
        </w:rPr>
        <w:t xml:space="preserve"> and toxicological</w:t>
      </w:r>
      <w:r w:rsidRPr="008474E7">
        <w:rPr>
          <w:rFonts w:ascii="Arial" w:hAnsi="Arial" w:cs="Arial"/>
          <w:b/>
          <w:noProof/>
          <w:sz w:val="28"/>
          <w:szCs w:val="28"/>
          <w:lang w:val="en-US"/>
        </w:rPr>
        <w:t xml:space="preserve"> screening of </w:t>
      </w:r>
      <w:r>
        <w:rPr>
          <w:rFonts w:ascii="Arial" w:hAnsi="Arial" w:cs="Arial"/>
          <w:b/>
          <w:noProof/>
          <w:sz w:val="28"/>
          <w:szCs w:val="28"/>
          <w:lang w:val="en-US"/>
        </w:rPr>
        <w:t xml:space="preserve">the Danube river </w:t>
      </w:r>
      <w:r w:rsidRPr="008474E7">
        <w:rPr>
          <w:rFonts w:ascii="Arial" w:hAnsi="Arial" w:cs="Arial"/>
          <w:b/>
          <w:noProof/>
          <w:sz w:val="28"/>
          <w:szCs w:val="28"/>
          <w:lang w:val="en-US"/>
        </w:rPr>
        <w:t>using mobile passive sampling</w:t>
      </w:r>
    </w:p>
    <w:p w:rsidR="00E52131" w:rsidRPr="00FE730D" w:rsidRDefault="00FE730D" w:rsidP="00FE730D">
      <w:pPr>
        <w:spacing w:after="120"/>
        <w:rPr>
          <w:rFonts w:ascii="Arial" w:hAnsi="Arial" w:cs="Arial"/>
          <w:smallCaps/>
          <w:noProof/>
          <w:u w:val="single"/>
          <w:lang w:val="en-US"/>
        </w:rPr>
      </w:pPr>
      <w:r w:rsidRPr="00FE730D">
        <w:rPr>
          <w:rFonts w:ascii="Arial" w:hAnsi="Arial" w:cs="Arial"/>
          <w:smallCaps/>
          <w:noProof/>
          <w:u w:val="single"/>
          <w:lang w:val="en-US"/>
        </w:rPr>
        <w:t>Branislav Vrana</w:t>
      </w:r>
      <w:r w:rsidRPr="00FE730D">
        <w:rPr>
          <w:rFonts w:ascii="Arial" w:hAnsi="Arial" w:cs="Arial"/>
          <w:smallCaps/>
          <w:noProof/>
          <w:u w:val="single"/>
          <w:vertAlign w:val="superscript"/>
          <w:lang w:val="en-US"/>
        </w:rPr>
        <w:t>1</w:t>
      </w:r>
      <w:r w:rsidRPr="00FE730D">
        <w:rPr>
          <w:rFonts w:ascii="Arial" w:hAnsi="Arial" w:cs="Arial"/>
          <w:smallCaps/>
          <w:noProof/>
          <w:lang w:val="en-US"/>
        </w:rPr>
        <w:t>,</w:t>
      </w:r>
      <w:r w:rsidRPr="00FE730D">
        <w:rPr>
          <w:rFonts w:ascii="Arial" w:hAnsi="Arial" w:cs="Arial"/>
          <w:smallCaps/>
          <w:noProof/>
          <w:u w:val="single"/>
          <w:lang w:val="en-US"/>
        </w:rPr>
        <w:t xml:space="preserve"> </w:t>
      </w:r>
      <w:r w:rsidRPr="00FE730D">
        <w:rPr>
          <w:rFonts w:ascii="Arial" w:hAnsi="Arial" w:cs="Arial"/>
          <w:smallCaps/>
          <w:noProof/>
          <w:lang w:val="en-US"/>
        </w:rPr>
        <w:t>Foppe Smedes</w:t>
      </w:r>
      <w:r w:rsidRPr="00FE730D">
        <w:rPr>
          <w:rFonts w:ascii="Arial" w:hAnsi="Arial" w:cs="Arial"/>
          <w:smallCaps/>
          <w:noProof/>
          <w:vertAlign w:val="superscript"/>
          <w:lang w:val="en-US"/>
        </w:rPr>
        <w:t>1</w:t>
      </w:r>
      <w:r w:rsidRPr="00FE730D">
        <w:rPr>
          <w:rFonts w:ascii="Arial" w:hAnsi="Arial" w:cs="Arial"/>
          <w:smallCaps/>
          <w:noProof/>
          <w:lang w:val="en-US"/>
        </w:rPr>
        <w:t>, Tatsiana Rusina</w:t>
      </w:r>
      <w:r w:rsidRPr="00FE730D">
        <w:rPr>
          <w:rFonts w:ascii="Arial" w:hAnsi="Arial" w:cs="Arial"/>
          <w:smallCaps/>
          <w:noProof/>
          <w:vertAlign w:val="superscript"/>
          <w:lang w:val="en-US"/>
        </w:rPr>
        <w:t>1</w:t>
      </w:r>
      <w:r w:rsidRPr="00FE730D">
        <w:rPr>
          <w:rFonts w:ascii="Arial" w:hAnsi="Arial" w:cs="Arial"/>
          <w:smallCaps/>
          <w:noProof/>
          <w:lang w:val="en-US"/>
        </w:rPr>
        <w:t>, Krzysztof Okonski</w:t>
      </w:r>
      <w:r w:rsidRPr="00FE730D">
        <w:rPr>
          <w:rFonts w:ascii="Arial" w:hAnsi="Arial" w:cs="Arial"/>
          <w:smallCaps/>
          <w:noProof/>
          <w:vertAlign w:val="superscript"/>
          <w:lang w:val="en-US"/>
        </w:rPr>
        <w:t>1</w:t>
      </w:r>
      <w:r w:rsidRPr="00FE730D">
        <w:rPr>
          <w:rFonts w:ascii="Arial" w:hAnsi="Arial" w:cs="Arial"/>
          <w:smallCaps/>
          <w:noProof/>
          <w:lang w:val="en-US"/>
        </w:rPr>
        <w:t>, Ian Allan</w:t>
      </w:r>
      <w:r w:rsidRPr="00FE730D">
        <w:rPr>
          <w:rFonts w:ascii="Arial" w:hAnsi="Arial" w:cs="Arial"/>
          <w:smallCaps/>
          <w:noProof/>
          <w:vertAlign w:val="superscript"/>
          <w:lang w:val="en-US"/>
        </w:rPr>
        <w:t>2</w:t>
      </w:r>
      <w:r w:rsidRPr="00FE730D">
        <w:rPr>
          <w:rFonts w:ascii="Arial" w:hAnsi="Arial" w:cs="Arial"/>
          <w:smallCaps/>
          <w:noProof/>
          <w:lang w:val="en-US"/>
        </w:rPr>
        <w:t>, Klára Hilscherov</w:t>
      </w:r>
      <w:r>
        <w:rPr>
          <w:rFonts w:ascii="Arial" w:hAnsi="Arial" w:cs="Arial"/>
          <w:smallCaps/>
          <w:noProof/>
          <w:lang w:val="en-US"/>
        </w:rPr>
        <w:t>á</w:t>
      </w:r>
      <w:r w:rsidRPr="00FE730D">
        <w:rPr>
          <w:rFonts w:ascii="Arial" w:hAnsi="Arial" w:cs="Arial"/>
          <w:smallCaps/>
          <w:noProof/>
          <w:vertAlign w:val="superscript"/>
          <w:lang w:val="en-US"/>
        </w:rPr>
        <w:t>1</w:t>
      </w:r>
      <w:r w:rsidRPr="00FE730D">
        <w:rPr>
          <w:rFonts w:ascii="Arial" w:hAnsi="Arial" w:cs="Arial"/>
          <w:smallCaps/>
          <w:noProof/>
          <w:lang w:val="en-US"/>
        </w:rPr>
        <w:t>, Jiří Novák</w:t>
      </w:r>
      <w:r w:rsidRPr="00FE730D">
        <w:rPr>
          <w:rFonts w:ascii="Arial" w:hAnsi="Arial" w:cs="Arial"/>
          <w:smallCaps/>
          <w:noProof/>
          <w:vertAlign w:val="superscript"/>
          <w:lang w:val="en-US"/>
        </w:rPr>
        <w:t>1</w:t>
      </w:r>
      <w:r w:rsidRPr="00FE730D">
        <w:rPr>
          <w:rFonts w:ascii="Arial" w:hAnsi="Arial" w:cs="Arial"/>
          <w:smallCaps/>
          <w:noProof/>
          <w:lang w:val="en-US"/>
        </w:rPr>
        <w:t>, Peter Tarábek</w:t>
      </w:r>
      <w:r w:rsidRPr="00FE730D">
        <w:rPr>
          <w:rFonts w:ascii="Arial" w:hAnsi="Arial" w:cs="Arial"/>
          <w:smallCaps/>
          <w:noProof/>
          <w:vertAlign w:val="superscript"/>
          <w:lang w:val="en-US"/>
        </w:rPr>
        <w:t>3</w:t>
      </w:r>
      <w:r w:rsidRPr="00FE730D">
        <w:rPr>
          <w:rFonts w:ascii="Arial" w:hAnsi="Arial" w:cs="Arial"/>
          <w:smallCaps/>
          <w:noProof/>
          <w:lang w:val="en-US"/>
        </w:rPr>
        <w:t>, Roman Grabic</w:t>
      </w:r>
      <w:r w:rsidRPr="00FE730D">
        <w:rPr>
          <w:rFonts w:ascii="Arial" w:hAnsi="Arial" w:cs="Arial"/>
          <w:smallCaps/>
          <w:noProof/>
          <w:vertAlign w:val="superscript"/>
          <w:lang w:val="en-US"/>
        </w:rPr>
        <w:t>4</w:t>
      </w:r>
      <w:r w:rsidRPr="00FE730D">
        <w:rPr>
          <w:rFonts w:ascii="Arial" w:hAnsi="Arial" w:cs="Arial"/>
          <w:smallCaps/>
          <w:noProof/>
          <w:lang w:val="en-US"/>
        </w:rPr>
        <w:t>, Jaroslav Slobodník</w:t>
      </w:r>
      <w:r w:rsidRPr="00FE730D">
        <w:rPr>
          <w:rFonts w:ascii="Arial" w:hAnsi="Arial" w:cs="Arial"/>
          <w:smallCaps/>
          <w:noProof/>
          <w:vertAlign w:val="superscript"/>
          <w:lang w:val="en-US"/>
        </w:rPr>
        <w:t>5</w:t>
      </w:r>
    </w:p>
    <w:p w:rsidR="00E52131" w:rsidRDefault="00E52131" w:rsidP="00E52131">
      <w:pPr>
        <w:pStyle w:val="Default"/>
        <w:rPr>
          <w:sz w:val="18"/>
          <w:szCs w:val="18"/>
          <w:lang w:val="en-US"/>
        </w:rPr>
      </w:pPr>
      <w:r>
        <w:rPr>
          <w:noProof/>
          <w:sz w:val="18"/>
          <w:szCs w:val="18"/>
          <w:vertAlign w:val="superscript"/>
          <w:lang w:val="en-US"/>
        </w:rPr>
        <w:t xml:space="preserve">1 </w:t>
      </w:r>
      <w:r>
        <w:rPr>
          <w:sz w:val="18"/>
          <w:szCs w:val="18"/>
          <w:lang w:val="en-US"/>
        </w:rPr>
        <w:t>Masaryk University, Recetox, Kamenice 753/5-A29, 62 500, Brno, Czech Republic</w:t>
      </w:r>
    </w:p>
    <w:p w:rsidR="000848D1" w:rsidRPr="000848D1" w:rsidRDefault="000848D1" w:rsidP="000848D1">
      <w:pPr>
        <w:pStyle w:val="Default"/>
        <w:rPr>
          <w:sz w:val="18"/>
          <w:szCs w:val="18"/>
          <w:lang w:val="en-US"/>
        </w:rPr>
      </w:pPr>
      <w:r w:rsidRPr="000848D1">
        <w:rPr>
          <w:noProof/>
          <w:sz w:val="18"/>
          <w:szCs w:val="18"/>
          <w:vertAlign w:val="superscript"/>
          <w:lang w:val="en-US"/>
        </w:rPr>
        <w:t>2</w:t>
      </w:r>
      <w:r w:rsidRPr="000848D1">
        <w:rPr>
          <w:sz w:val="18"/>
          <w:szCs w:val="18"/>
          <w:lang w:val="en-US"/>
        </w:rPr>
        <w:t>Norwegian Institute for Water Research (NIVA), Oslo, Norway</w:t>
      </w:r>
    </w:p>
    <w:p w:rsidR="000848D1" w:rsidRPr="000848D1" w:rsidRDefault="000848D1" w:rsidP="000848D1">
      <w:pPr>
        <w:pStyle w:val="Default"/>
        <w:rPr>
          <w:sz w:val="18"/>
          <w:szCs w:val="18"/>
          <w:lang w:val="en-US"/>
        </w:rPr>
      </w:pPr>
      <w:r w:rsidRPr="000848D1">
        <w:rPr>
          <w:noProof/>
          <w:sz w:val="18"/>
          <w:szCs w:val="18"/>
          <w:vertAlign w:val="superscript"/>
          <w:lang w:val="en-US"/>
        </w:rPr>
        <w:t>3</w:t>
      </w:r>
      <w:r w:rsidRPr="000848D1">
        <w:rPr>
          <w:sz w:val="18"/>
          <w:szCs w:val="18"/>
          <w:lang w:val="en-US"/>
        </w:rPr>
        <w:t>Water Research Institute, Bratislava, Slovakia</w:t>
      </w:r>
    </w:p>
    <w:p w:rsidR="000848D1" w:rsidRPr="000848D1" w:rsidRDefault="000848D1" w:rsidP="000848D1">
      <w:pPr>
        <w:pStyle w:val="Default"/>
        <w:rPr>
          <w:sz w:val="18"/>
          <w:szCs w:val="18"/>
          <w:lang w:val="en-US"/>
        </w:rPr>
      </w:pPr>
      <w:r w:rsidRPr="000848D1">
        <w:rPr>
          <w:noProof/>
          <w:sz w:val="18"/>
          <w:szCs w:val="18"/>
          <w:vertAlign w:val="superscript"/>
          <w:lang w:val="en-US"/>
        </w:rPr>
        <w:t>4</w:t>
      </w:r>
      <w:r w:rsidRPr="000848D1">
        <w:rPr>
          <w:sz w:val="18"/>
          <w:szCs w:val="18"/>
          <w:lang w:val="en-US"/>
        </w:rPr>
        <w:t>University of South Bohemia, České Budějovice, Czech Republic</w:t>
      </w:r>
    </w:p>
    <w:p w:rsidR="000848D1" w:rsidRPr="000848D1" w:rsidRDefault="000848D1" w:rsidP="000848D1">
      <w:pPr>
        <w:pStyle w:val="Default"/>
        <w:rPr>
          <w:sz w:val="18"/>
          <w:szCs w:val="18"/>
          <w:lang w:val="en-US"/>
        </w:rPr>
      </w:pPr>
      <w:r w:rsidRPr="000848D1">
        <w:rPr>
          <w:noProof/>
          <w:sz w:val="18"/>
          <w:szCs w:val="18"/>
          <w:vertAlign w:val="superscript"/>
          <w:lang w:val="en-US"/>
        </w:rPr>
        <w:t>5</w:t>
      </w:r>
      <w:r w:rsidRPr="000848D1">
        <w:rPr>
          <w:sz w:val="18"/>
          <w:szCs w:val="18"/>
          <w:lang w:val="en-US"/>
        </w:rPr>
        <w:t>Environmental Institute,</w:t>
      </w:r>
      <w:r w:rsidR="00984C20">
        <w:rPr>
          <w:sz w:val="18"/>
          <w:szCs w:val="18"/>
          <w:lang w:val="en-US"/>
        </w:rPr>
        <w:t xml:space="preserve"> </w:t>
      </w:r>
      <w:proofErr w:type="spellStart"/>
      <w:r w:rsidR="00984C20">
        <w:rPr>
          <w:sz w:val="18"/>
          <w:szCs w:val="18"/>
          <w:lang w:val="en-US"/>
        </w:rPr>
        <w:t>Ko</w:t>
      </w:r>
      <w:proofErr w:type="spellEnd"/>
      <w:r w:rsidR="00984C20">
        <w:rPr>
          <w:sz w:val="18"/>
          <w:szCs w:val="18"/>
        </w:rPr>
        <w:t>š,</w:t>
      </w:r>
      <w:r w:rsidRPr="000848D1">
        <w:rPr>
          <w:sz w:val="18"/>
          <w:szCs w:val="18"/>
          <w:lang w:val="en-US"/>
        </w:rPr>
        <w:t xml:space="preserve"> Slovakia</w:t>
      </w:r>
    </w:p>
    <w:p w:rsidR="00E52131" w:rsidRDefault="00E52131" w:rsidP="00E52131">
      <w:pPr>
        <w:pStyle w:val="Default"/>
        <w:rPr>
          <w:color w:val="auto"/>
          <w:sz w:val="18"/>
          <w:szCs w:val="18"/>
          <w:lang w:val="en-US"/>
        </w:rPr>
      </w:pPr>
    </w:p>
    <w:p w:rsidR="00DF50A4" w:rsidRDefault="004A660D" w:rsidP="00E52131">
      <w:pPr>
        <w:pStyle w:val="Default"/>
        <w:rPr>
          <w:color w:val="auto"/>
          <w:sz w:val="18"/>
          <w:szCs w:val="18"/>
          <w:lang w:val="en-US"/>
        </w:rPr>
      </w:pPr>
      <w:hyperlink r:id="rId5" w:history="1">
        <w:r w:rsidR="000848D1" w:rsidRPr="000729E5">
          <w:rPr>
            <w:rStyle w:val="Hyperlink"/>
            <w:sz w:val="18"/>
            <w:szCs w:val="18"/>
            <w:lang w:val="en-US"/>
          </w:rPr>
          <w:t>vrana@recetox.muni.cz</w:t>
        </w:r>
      </w:hyperlink>
    </w:p>
    <w:p w:rsidR="00E52131" w:rsidRDefault="00E52131" w:rsidP="00E52131">
      <w:pPr>
        <w:pStyle w:val="Default"/>
        <w:jc w:val="both"/>
        <w:rPr>
          <w:color w:val="auto"/>
          <w:sz w:val="18"/>
          <w:szCs w:val="18"/>
          <w:lang w:val="en-US"/>
        </w:rPr>
      </w:pPr>
    </w:p>
    <w:p w:rsidR="000848D1" w:rsidRDefault="000848D1" w:rsidP="00E52131">
      <w:pPr>
        <w:pStyle w:val="Default"/>
        <w:jc w:val="both"/>
        <w:rPr>
          <w:color w:val="auto"/>
          <w:sz w:val="18"/>
          <w:szCs w:val="18"/>
          <w:lang w:val="en-US"/>
        </w:rPr>
      </w:pPr>
      <w:r w:rsidRPr="000848D1">
        <w:rPr>
          <w:color w:val="auto"/>
          <w:sz w:val="18"/>
          <w:szCs w:val="18"/>
          <w:lang w:val="en-US"/>
        </w:rPr>
        <w:t xml:space="preserve">Organic pollutants are often present in the water column at trace concentrations that are difficult to detect when conventional low volume spot sampling of water is applied. We present a novel representative mobile passive sampling approach for screening of trace organic pollutants </w:t>
      </w:r>
      <w:r w:rsidR="008F3BA4">
        <w:rPr>
          <w:color w:val="auto"/>
          <w:sz w:val="18"/>
          <w:szCs w:val="18"/>
          <w:lang w:val="en-US"/>
        </w:rPr>
        <w:t>along the Danube River</w:t>
      </w:r>
      <w:r w:rsidRPr="000848D1">
        <w:rPr>
          <w:color w:val="auto"/>
          <w:sz w:val="18"/>
          <w:szCs w:val="18"/>
          <w:lang w:val="en-US"/>
        </w:rPr>
        <w:t>. The concept was successfully applied in summer 2013 within the Joint Danube Survey 3</w:t>
      </w:r>
      <w:r w:rsidR="00CA076F">
        <w:rPr>
          <w:color w:val="auto"/>
          <w:sz w:val="18"/>
          <w:szCs w:val="18"/>
          <w:lang w:val="en-US"/>
        </w:rPr>
        <w:t xml:space="preserve"> [1]</w:t>
      </w:r>
      <w:r w:rsidRPr="000848D1">
        <w:rPr>
          <w:color w:val="auto"/>
          <w:sz w:val="18"/>
          <w:szCs w:val="18"/>
          <w:lang w:val="en-US"/>
        </w:rPr>
        <w:t>. The application of temporally- and spatially- integrative passive sampling approach resulted in samples that provide a representative picture of pollution situation for eight defined stretches of the Danube River.</w:t>
      </w:r>
    </w:p>
    <w:p w:rsidR="000848D1" w:rsidRDefault="000848D1" w:rsidP="00E52131">
      <w:pPr>
        <w:pStyle w:val="Default"/>
        <w:jc w:val="both"/>
        <w:rPr>
          <w:color w:val="auto"/>
          <w:sz w:val="18"/>
          <w:szCs w:val="18"/>
          <w:lang w:val="en-US"/>
        </w:rPr>
      </w:pPr>
    </w:p>
    <w:p w:rsidR="000848D1" w:rsidRDefault="000848D1" w:rsidP="000848D1">
      <w:pPr>
        <w:pStyle w:val="Default"/>
        <w:jc w:val="both"/>
        <w:rPr>
          <w:color w:val="auto"/>
          <w:sz w:val="18"/>
          <w:szCs w:val="18"/>
          <w:lang w:val="en-US"/>
        </w:rPr>
      </w:pPr>
      <w:r w:rsidRPr="000848D1">
        <w:rPr>
          <w:color w:val="auto"/>
          <w:sz w:val="18"/>
          <w:szCs w:val="18"/>
          <w:lang w:val="en-US"/>
        </w:rPr>
        <w:t>We used an “active” passive sampling system (APS) for sampling of trace organic pollutants. The uptake principle in the APS remains the same as in classical static passive sampling and the monitoring results can be evaluated using usual passive sampler calibration parameters. The APS system was installed in summer 2013 on board of the expedition ship Argus to obtain enhanced passive sampler uptake rates in order to achieve sufficient sensitivity despite the short time available for sampling. During a typical sampling period of 5 days the ship moved downstream along a defined stretch. The obtained samples contained water pollutants integrated in time and space along that stretch. Samplers were exchanged every 5 days, which resulted in total of eight samples representing eight stretches of the Danube.</w:t>
      </w:r>
    </w:p>
    <w:p w:rsidR="000848D1" w:rsidRPr="000848D1" w:rsidRDefault="000848D1" w:rsidP="000848D1">
      <w:pPr>
        <w:pStyle w:val="Default"/>
        <w:jc w:val="both"/>
        <w:rPr>
          <w:color w:val="auto"/>
          <w:sz w:val="18"/>
          <w:szCs w:val="18"/>
          <w:lang w:val="en-US"/>
        </w:rPr>
      </w:pPr>
    </w:p>
    <w:p w:rsidR="000848D1" w:rsidRDefault="000848D1" w:rsidP="000848D1">
      <w:pPr>
        <w:pStyle w:val="Default"/>
        <w:jc w:val="both"/>
        <w:rPr>
          <w:color w:val="auto"/>
          <w:sz w:val="18"/>
          <w:szCs w:val="18"/>
          <w:lang w:val="en-US"/>
        </w:rPr>
      </w:pPr>
      <w:r w:rsidRPr="000848D1">
        <w:rPr>
          <w:color w:val="auto"/>
          <w:sz w:val="18"/>
          <w:szCs w:val="18"/>
          <w:lang w:val="en-US"/>
        </w:rPr>
        <w:t>Three types of passive samplers were applied: two partitioning samplers for hydrophobic compounds (silicone rubber (SR) and low density polyethylene (LDPE) sheets), and an adsorption sampler for polar compounds based on styrene-divinylbenzene solid phase extraction disks, SDB-RPS Empore disks (ED), respectively. Extracts of passive samplers were subjected to target analysis o</w:t>
      </w:r>
      <w:r w:rsidR="008F3BA4">
        <w:rPr>
          <w:color w:val="auto"/>
          <w:sz w:val="18"/>
          <w:szCs w:val="18"/>
          <w:lang w:val="en-US"/>
        </w:rPr>
        <w:t>f a range of organic pollutants</w:t>
      </w:r>
      <w:r w:rsidR="00A74631">
        <w:rPr>
          <w:color w:val="auto"/>
          <w:sz w:val="18"/>
          <w:szCs w:val="18"/>
          <w:lang w:val="en-US"/>
        </w:rPr>
        <w:t xml:space="preserve"> and </w:t>
      </w:r>
      <w:r w:rsidR="00A74631" w:rsidRPr="00A74631">
        <w:rPr>
          <w:color w:val="auto"/>
          <w:sz w:val="18"/>
          <w:szCs w:val="18"/>
          <w:lang w:val="en-US"/>
        </w:rPr>
        <w:t>to toxicological profiling by a battery of bioassays, covering several important steps in the toxicity pathway including induction of xenobiotic metabolism, specific and reactive modes of toxic action, activation of adaptive stress response pathways</w:t>
      </w:r>
      <w:r w:rsidR="00A74631">
        <w:rPr>
          <w:color w:val="auto"/>
          <w:sz w:val="18"/>
          <w:szCs w:val="18"/>
          <w:lang w:val="en-US"/>
        </w:rPr>
        <w:t>.</w:t>
      </w:r>
    </w:p>
    <w:p w:rsidR="000848D1" w:rsidRDefault="000848D1" w:rsidP="00E52131">
      <w:pPr>
        <w:pStyle w:val="Default"/>
        <w:jc w:val="both"/>
        <w:rPr>
          <w:color w:val="auto"/>
          <w:sz w:val="18"/>
          <w:szCs w:val="18"/>
          <w:lang w:val="en-US"/>
        </w:rPr>
      </w:pPr>
    </w:p>
    <w:p w:rsidR="000848D1" w:rsidRPr="005B0CA8" w:rsidRDefault="000848D1" w:rsidP="005B0CA8">
      <w:pPr>
        <w:pStyle w:val="Default"/>
        <w:jc w:val="both"/>
        <w:rPr>
          <w:color w:val="auto"/>
          <w:sz w:val="18"/>
          <w:szCs w:val="18"/>
          <w:lang w:val="en-US"/>
        </w:rPr>
      </w:pPr>
      <w:r w:rsidRPr="005B0CA8">
        <w:rPr>
          <w:color w:val="auto"/>
          <w:sz w:val="18"/>
          <w:szCs w:val="18"/>
          <w:lang w:val="en-US"/>
        </w:rPr>
        <w:t>Despite the low or sub- ng l</w:t>
      </w:r>
      <w:r w:rsidRPr="003954C5">
        <w:rPr>
          <w:color w:val="auto"/>
          <w:sz w:val="18"/>
          <w:szCs w:val="18"/>
          <w:vertAlign w:val="superscript"/>
          <w:lang w:val="en-US"/>
        </w:rPr>
        <w:t>-1</w:t>
      </w:r>
      <w:r w:rsidRPr="005B0CA8">
        <w:rPr>
          <w:color w:val="auto"/>
          <w:sz w:val="18"/>
          <w:szCs w:val="18"/>
          <w:lang w:val="en-US"/>
        </w:rPr>
        <w:t xml:space="preserve"> concentrations of most organic pollutants present in the free dissolved phase, passive sampling enab</w:t>
      </w:r>
      <w:r w:rsidR="005B0CA8">
        <w:rPr>
          <w:color w:val="auto"/>
          <w:sz w:val="18"/>
          <w:szCs w:val="18"/>
          <w:lang w:val="en-US"/>
        </w:rPr>
        <w:t xml:space="preserve">led to clearly identify spatial profiles </w:t>
      </w:r>
      <w:r w:rsidRPr="005B0CA8">
        <w:rPr>
          <w:color w:val="auto"/>
          <w:sz w:val="18"/>
          <w:szCs w:val="18"/>
          <w:lang w:val="en-US"/>
        </w:rPr>
        <w:t>of a broad range of organic pollutants in the water column, including PCBs, organochlorine compounds, PAHs, alkylphenols, selected polar pesticides and pharmaceuticals. In many cases, the integrative character of passive sampling allowed measurement of compounds down to pg l</w:t>
      </w:r>
      <w:r w:rsidRPr="003954C5">
        <w:rPr>
          <w:color w:val="auto"/>
          <w:sz w:val="18"/>
          <w:szCs w:val="18"/>
          <w:vertAlign w:val="superscript"/>
          <w:lang w:val="en-US"/>
        </w:rPr>
        <w:t>-1</w:t>
      </w:r>
      <w:r w:rsidRPr="005B0CA8">
        <w:rPr>
          <w:color w:val="auto"/>
          <w:sz w:val="18"/>
          <w:szCs w:val="18"/>
          <w:lang w:val="en-US"/>
        </w:rPr>
        <w:t xml:space="preserve"> levels where methods based on low volume spot sampling of water applied in the previous Danub</w:t>
      </w:r>
      <w:r w:rsidR="005B0CA8">
        <w:rPr>
          <w:color w:val="auto"/>
          <w:sz w:val="18"/>
          <w:szCs w:val="18"/>
          <w:lang w:val="en-US"/>
        </w:rPr>
        <w:t>e survey failed to detect them.</w:t>
      </w:r>
      <w:r w:rsidR="00A74631">
        <w:rPr>
          <w:color w:val="auto"/>
          <w:sz w:val="18"/>
          <w:szCs w:val="18"/>
          <w:lang w:val="en-US"/>
        </w:rPr>
        <w:t xml:space="preserve"> D</w:t>
      </w:r>
      <w:r w:rsidR="00A74631" w:rsidRPr="00A74631">
        <w:rPr>
          <w:color w:val="auto"/>
          <w:sz w:val="18"/>
          <w:szCs w:val="18"/>
          <w:lang w:val="en-US"/>
        </w:rPr>
        <w:t xml:space="preserve">istribution of quantified toxic potentials among two types </w:t>
      </w:r>
      <w:proofErr w:type="gramStart"/>
      <w:r w:rsidR="00A74631" w:rsidRPr="00A74631">
        <w:rPr>
          <w:color w:val="auto"/>
          <w:sz w:val="18"/>
          <w:szCs w:val="18"/>
          <w:lang w:val="en-US"/>
        </w:rPr>
        <w:t>of  samplers</w:t>
      </w:r>
      <w:proofErr w:type="gramEnd"/>
      <w:r w:rsidR="00A74631" w:rsidRPr="00A74631">
        <w:rPr>
          <w:color w:val="auto"/>
          <w:sz w:val="18"/>
          <w:szCs w:val="18"/>
          <w:lang w:val="en-US"/>
        </w:rPr>
        <w:t xml:space="preserve"> </w:t>
      </w:r>
      <w:r w:rsidR="00A74631">
        <w:rPr>
          <w:color w:val="auto"/>
          <w:sz w:val="18"/>
          <w:szCs w:val="18"/>
          <w:lang w:val="en-US"/>
        </w:rPr>
        <w:t xml:space="preserve">(SR and ED) </w:t>
      </w:r>
      <w:r w:rsidR="00A74631" w:rsidRPr="00A74631">
        <w:rPr>
          <w:color w:val="auto"/>
          <w:sz w:val="18"/>
          <w:szCs w:val="18"/>
          <w:lang w:val="en-US"/>
        </w:rPr>
        <w:t>showed that studied endocrine di</w:t>
      </w:r>
      <w:r w:rsidR="00540423">
        <w:rPr>
          <w:color w:val="auto"/>
          <w:sz w:val="18"/>
          <w:szCs w:val="18"/>
          <w:lang w:val="en-US"/>
        </w:rPr>
        <w:t>s</w:t>
      </w:r>
      <w:r w:rsidR="00A74631" w:rsidRPr="00A74631">
        <w:rPr>
          <w:color w:val="auto"/>
          <w:sz w:val="18"/>
          <w:szCs w:val="18"/>
          <w:lang w:val="en-US"/>
        </w:rPr>
        <w:t>ruptive and oxidative stress potencies were elicited mostly by polar compounds while AhR-mediated potential can be ascribed mostly to non-polar</w:t>
      </w:r>
      <w:r w:rsidR="00540423">
        <w:rPr>
          <w:color w:val="auto"/>
          <w:sz w:val="18"/>
          <w:szCs w:val="18"/>
          <w:lang w:val="en-US"/>
        </w:rPr>
        <w:t xml:space="preserve"> </w:t>
      </w:r>
      <w:r w:rsidR="00A74631" w:rsidRPr="00A74631">
        <w:rPr>
          <w:color w:val="auto"/>
          <w:sz w:val="18"/>
          <w:szCs w:val="18"/>
          <w:lang w:val="en-US"/>
        </w:rPr>
        <w:t>ones</w:t>
      </w:r>
      <w:r w:rsidR="00540423">
        <w:rPr>
          <w:color w:val="auto"/>
          <w:sz w:val="18"/>
          <w:szCs w:val="18"/>
          <w:lang w:val="en-US"/>
        </w:rPr>
        <w:t>.</w:t>
      </w:r>
    </w:p>
    <w:p w:rsidR="00E52131" w:rsidRDefault="00E52131" w:rsidP="00E52131">
      <w:pPr>
        <w:jc w:val="both"/>
        <w:rPr>
          <w:rFonts w:ascii="Arial" w:hAnsi="Arial" w:cs="Arial"/>
          <w:noProof/>
          <w:sz w:val="20"/>
          <w:szCs w:val="20"/>
          <w:lang w:val="fr-FR"/>
        </w:rPr>
      </w:pPr>
    </w:p>
    <w:p w:rsidR="00E52131" w:rsidRDefault="00E52131" w:rsidP="00E52131">
      <w:pPr>
        <w:jc w:val="both"/>
        <w:rPr>
          <w:rFonts w:ascii="Arial" w:hAnsi="Arial" w:cs="Arial"/>
          <w:noProof/>
          <w:sz w:val="18"/>
          <w:szCs w:val="18"/>
          <w:lang w:val="fr-FR"/>
        </w:rPr>
      </w:pPr>
      <w:r>
        <w:rPr>
          <w:rFonts w:ascii="Arial" w:hAnsi="Arial" w:cs="Arial"/>
          <w:noProof/>
          <w:sz w:val="18"/>
          <w:szCs w:val="18"/>
          <w:lang w:val="fr-FR"/>
        </w:rPr>
        <w:t>References:</w:t>
      </w:r>
    </w:p>
    <w:p w:rsidR="00CA076F" w:rsidRDefault="000848D1" w:rsidP="000848D1">
      <w:pPr>
        <w:pStyle w:val="NormalWeb"/>
        <w:ind w:left="480" w:hanging="480"/>
        <w:rPr>
          <w:rFonts w:ascii="Arial" w:eastAsia="Times New Roman" w:hAnsi="Arial" w:cs="Arial"/>
          <w:sz w:val="16"/>
          <w:szCs w:val="16"/>
        </w:rPr>
      </w:pPr>
      <w:r w:rsidRPr="000848D1">
        <w:rPr>
          <w:rFonts w:ascii="Arial" w:eastAsia="Times New Roman" w:hAnsi="Arial" w:cs="Arial"/>
          <w:sz w:val="16"/>
          <w:szCs w:val="16"/>
        </w:rPr>
        <w:t>[1]</w:t>
      </w:r>
      <w:r w:rsidR="00CA076F">
        <w:rPr>
          <w:rFonts w:ascii="Arial" w:eastAsia="Times New Roman" w:hAnsi="Arial" w:cs="Arial"/>
          <w:sz w:val="16"/>
          <w:szCs w:val="16"/>
        </w:rPr>
        <w:tab/>
      </w:r>
      <w:r w:rsidR="00CA076F" w:rsidRPr="00CA076F">
        <w:rPr>
          <w:rFonts w:ascii="Arial" w:eastAsia="Times New Roman" w:hAnsi="Arial" w:cs="Arial"/>
          <w:sz w:val="16"/>
          <w:szCs w:val="16"/>
        </w:rPr>
        <w:t>Vrana B., Smedes F., Rusina T., Okonski K., Allan I., Grung M., Hilscherova K., Novák J., Tarábek P., and Slobodník J., Passive sampling: chemical analysis and toxicological profiling, in Joint Danube Survey 3, I. Liška, F. Wagner, M. Sengl, K. Deutsch, and J. Slobodník, Eds. Vienna: ICPDR – International Commission for the Protection of the Danube River, 2015, 304–315.</w:t>
      </w:r>
    </w:p>
    <w:p w:rsidR="00AF7357" w:rsidRDefault="00AF7357" w:rsidP="00AF7357">
      <w:pPr>
        <w:jc w:val="both"/>
        <w:rPr>
          <w:rFonts w:ascii="Arial" w:hAnsi="Arial" w:cs="Arial"/>
          <w:noProof/>
          <w:sz w:val="18"/>
          <w:szCs w:val="18"/>
          <w:lang w:val="fr-FR"/>
        </w:rPr>
      </w:pPr>
      <w:r w:rsidRPr="00AF7357">
        <w:rPr>
          <w:rFonts w:ascii="Arial" w:hAnsi="Arial" w:cs="Arial"/>
          <w:noProof/>
          <w:sz w:val="18"/>
          <w:szCs w:val="18"/>
          <w:lang w:val="fr-FR"/>
        </w:rPr>
        <w:t>Acknowledgment</w:t>
      </w:r>
      <w:r>
        <w:rPr>
          <w:rFonts w:ascii="Arial" w:hAnsi="Arial" w:cs="Arial"/>
          <w:noProof/>
          <w:sz w:val="18"/>
          <w:szCs w:val="18"/>
          <w:lang w:val="fr-FR"/>
        </w:rPr>
        <w:t>:</w:t>
      </w:r>
    </w:p>
    <w:p w:rsidR="00AF7357" w:rsidRDefault="00AF7357" w:rsidP="00AF7357">
      <w:pPr>
        <w:jc w:val="both"/>
        <w:rPr>
          <w:rFonts w:ascii="Arial" w:hAnsi="Arial" w:cs="Arial"/>
          <w:noProof/>
          <w:sz w:val="18"/>
          <w:szCs w:val="18"/>
          <w:lang w:val="fr-FR"/>
        </w:rPr>
      </w:pPr>
    </w:p>
    <w:p w:rsidR="00AF7357" w:rsidRDefault="00AF7357" w:rsidP="00AF7357">
      <w:pPr>
        <w:jc w:val="both"/>
        <w:rPr>
          <w:rFonts w:ascii="Arial" w:hAnsi="Arial" w:cs="Arial"/>
          <w:noProof/>
          <w:sz w:val="18"/>
          <w:szCs w:val="18"/>
          <w:lang w:val="fr-FR"/>
        </w:rPr>
      </w:pPr>
      <w:r w:rsidRPr="00AF7357">
        <w:rPr>
          <w:rFonts w:ascii="Arial" w:hAnsi="Arial" w:cs="Arial"/>
          <w:noProof/>
          <w:sz w:val="18"/>
          <w:szCs w:val="18"/>
          <w:lang w:val="fr-FR"/>
        </w:rPr>
        <w:t>We acknowledge the NORMAN association www.norman-network.net, the SOLUTIONS Projec</w:t>
      </w:r>
      <w:r>
        <w:rPr>
          <w:rFonts w:ascii="Arial" w:hAnsi="Arial" w:cs="Arial"/>
          <w:noProof/>
          <w:sz w:val="18"/>
          <w:szCs w:val="18"/>
          <w:lang w:val="fr-FR"/>
        </w:rPr>
        <w:t xml:space="preserve">t </w:t>
      </w:r>
      <w:r w:rsidRPr="00AF7357">
        <w:rPr>
          <w:rFonts w:ascii="Arial" w:hAnsi="Arial" w:cs="Arial"/>
          <w:noProof/>
          <w:sz w:val="18"/>
          <w:szCs w:val="18"/>
          <w:lang w:val="fr-FR"/>
        </w:rPr>
        <w:t>supported by the European Union Seventh Framework Programme (FP7-ENV-2013-two-stage</w:t>
      </w:r>
      <w:r>
        <w:rPr>
          <w:rFonts w:ascii="Arial" w:hAnsi="Arial" w:cs="Arial"/>
          <w:noProof/>
          <w:sz w:val="18"/>
          <w:szCs w:val="18"/>
          <w:lang w:val="fr-FR"/>
        </w:rPr>
        <w:t xml:space="preserve"> </w:t>
      </w:r>
      <w:r w:rsidRPr="00AF7357">
        <w:rPr>
          <w:rFonts w:ascii="Arial" w:hAnsi="Arial" w:cs="Arial"/>
          <w:noProof/>
          <w:sz w:val="18"/>
          <w:szCs w:val="18"/>
          <w:lang w:val="fr-FR"/>
        </w:rPr>
        <w:t>Collaborative project) under grant agreement 603437</w:t>
      </w:r>
      <w:r>
        <w:rPr>
          <w:rFonts w:ascii="Arial" w:hAnsi="Arial" w:cs="Arial"/>
          <w:noProof/>
          <w:sz w:val="18"/>
          <w:szCs w:val="18"/>
          <w:lang w:val="fr-FR"/>
        </w:rPr>
        <w:t xml:space="preserve">, the International Comission for the Protection </w:t>
      </w:r>
      <w:r w:rsidR="006A4743">
        <w:rPr>
          <w:rFonts w:ascii="Arial" w:hAnsi="Arial" w:cs="Arial"/>
          <w:noProof/>
          <w:sz w:val="18"/>
          <w:szCs w:val="18"/>
          <w:lang w:val="fr-FR"/>
        </w:rPr>
        <w:t xml:space="preserve">of the Danube River (ICPDR) for the financial support. </w:t>
      </w:r>
      <w:r w:rsidR="006A4743" w:rsidRPr="006A4743">
        <w:rPr>
          <w:rFonts w:ascii="Arial" w:hAnsi="Arial" w:cs="Arial"/>
          <w:noProof/>
          <w:sz w:val="18"/>
          <w:szCs w:val="18"/>
          <w:lang w:val="fr-FR"/>
        </w:rPr>
        <w:t>The RECETOX research infrastructure was supported by the projects of the Czech Ministry of Education (LO1214) and (LM2011028).</w:t>
      </w:r>
    </w:p>
    <w:p w:rsidR="00AF7357" w:rsidRPr="00AF7357" w:rsidRDefault="00AF7357" w:rsidP="00AF7357">
      <w:pPr>
        <w:jc w:val="both"/>
        <w:rPr>
          <w:rFonts w:ascii="Arial" w:hAnsi="Arial" w:cs="Arial"/>
          <w:noProof/>
          <w:sz w:val="18"/>
          <w:szCs w:val="18"/>
          <w:lang w:val="fr-FR"/>
        </w:rPr>
      </w:pPr>
    </w:p>
    <w:p w:rsidR="00AF7357" w:rsidRDefault="00AF7357" w:rsidP="000848D1">
      <w:pPr>
        <w:pStyle w:val="NormalWeb"/>
        <w:ind w:left="480" w:hanging="480"/>
        <w:rPr>
          <w:rFonts w:ascii="Arial" w:eastAsia="Times New Roman" w:hAnsi="Arial" w:cs="Arial"/>
          <w:sz w:val="16"/>
          <w:szCs w:val="16"/>
        </w:rPr>
      </w:pPr>
    </w:p>
    <w:sectPr w:rsidR="00AF7357" w:rsidSect="00BD38F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E52131"/>
    <w:rsid w:val="00051555"/>
    <w:rsid w:val="000848D1"/>
    <w:rsid w:val="00102C8B"/>
    <w:rsid w:val="00130DBF"/>
    <w:rsid w:val="001322F3"/>
    <w:rsid w:val="00171BAB"/>
    <w:rsid w:val="002545EB"/>
    <w:rsid w:val="00292DC9"/>
    <w:rsid w:val="003067D3"/>
    <w:rsid w:val="003855D3"/>
    <w:rsid w:val="003954C5"/>
    <w:rsid w:val="003F13BD"/>
    <w:rsid w:val="004276E9"/>
    <w:rsid w:val="00454893"/>
    <w:rsid w:val="00475F5C"/>
    <w:rsid w:val="004A660D"/>
    <w:rsid w:val="00540423"/>
    <w:rsid w:val="005561F5"/>
    <w:rsid w:val="005725CF"/>
    <w:rsid w:val="00577577"/>
    <w:rsid w:val="005B0CA8"/>
    <w:rsid w:val="006A4743"/>
    <w:rsid w:val="00724754"/>
    <w:rsid w:val="00742F8D"/>
    <w:rsid w:val="00757DBB"/>
    <w:rsid w:val="00765A49"/>
    <w:rsid w:val="007B69A4"/>
    <w:rsid w:val="008474E7"/>
    <w:rsid w:val="00871B5E"/>
    <w:rsid w:val="008F3BA4"/>
    <w:rsid w:val="00961AC9"/>
    <w:rsid w:val="00984C20"/>
    <w:rsid w:val="009E3C99"/>
    <w:rsid w:val="009F3F30"/>
    <w:rsid w:val="00A63A1A"/>
    <w:rsid w:val="00A74631"/>
    <w:rsid w:val="00AF7357"/>
    <w:rsid w:val="00B23890"/>
    <w:rsid w:val="00B350F4"/>
    <w:rsid w:val="00B35C71"/>
    <w:rsid w:val="00BD38FB"/>
    <w:rsid w:val="00BF0FFC"/>
    <w:rsid w:val="00C17B3F"/>
    <w:rsid w:val="00C56E91"/>
    <w:rsid w:val="00C74FED"/>
    <w:rsid w:val="00CA076F"/>
    <w:rsid w:val="00CD4CEB"/>
    <w:rsid w:val="00D056F3"/>
    <w:rsid w:val="00D10198"/>
    <w:rsid w:val="00D456AA"/>
    <w:rsid w:val="00D64355"/>
    <w:rsid w:val="00DE1A79"/>
    <w:rsid w:val="00DF50A4"/>
    <w:rsid w:val="00E4461F"/>
    <w:rsid w:val="00E44E00"/>
    <w:rsid w:val="00E52131"/>
    <w:rsid w:val="00EA59D0"/>
    <w:rsid w:val="00ED2034"/>
    <w:rsid w:val="00EE1418"/>
    <w:rsid w:val="00FE730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131"/>
    <w:pPr>
      <w:spacing w:after="0" w:line="240" w:lineRule="auto"/>
    </w:pPr>
    <w:rPr>
      <w:rFonts w:ascii="Times New Roman" w:eastAsia="Times New Roman" w:hAnsi="Times New Roman" w:cs="Times New Roman"/>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2131"/>
    <w:rPr>
      <w:color w:val="0000FF"/>
      <w:u w:val="single"/>
    </w:rPr>
  </w:style>
  <w:style w:type="paragraph" w:styleId="NormalWeb">
    <w:name w:val="Normal (Web)"/>
    <w:basedOn w:val="Normal"/>
    <w:uiPriority w:val="99"/>
    <w:unhideWhenUsed/>
    <w:rsid w:val="00E52131"/>
    <w:pPr>
      <w:spacing w:before="100" w:beforeAutospacing="1" w:after="100" w:afterAutospacing="1"/>
    </w:pPr>
    <w:rPr>
      <w:rFonts w:eastAsiaTheme="minorEastAsia"/>
      <w:lang w:val="cs-CZ" w:eastAsia="cs-CZ"/>
    </w:rPr>
  </w:style>
  <w:style w:type="paragraph" w:customStyle="1" w:styleId="Default">
    <w:name w:val="Default"/>
    <w:uiPriority w:val="99"/>
    <w:rsid w:val="00E52131"/>
    <w:pPr>
      <w:autoSpaceDE w:val="0"/>
      <w:autoSpaceDN w:val="0"/>
      <w:adjustRightInd w:val="0"/>
      <w:spacing w:after="0" w:line="240" w:lineRule="auto"/>
    </w:pPr>
    <w:rPr>
      <w:rFonts w:ascii="Arial" w:eastAsia="Times New Roman" w:hAnsi="Arial" w:cs="Arial"/>
      <w:color w:val="000000"/>
      <w:sz w:val="24"/>
      <w:szCs w:val="24"/>
      <w:lang w:eastAsia="de-DE"/>
    </w:rPr>
  </w:style>
  <w:style w:type="paragraph" w:styleId="BalloonText">
    <w:name w:val="Balloon Text"/>
    <w:basedOn w:val="Normal"/>
    <w:link w:val="BalloonTextChar"/>
    <w:uiPriority w:val="99"/>
    <w:semiHidden/>
    <w:unhideWhenUsed/>
    <w:rsid w:val="00AF7357"/>
    <w:rPr>
      <w:rFonts w:ascii="Tahoma" w:hAnsi="Tahoma" w:cs="Tahoma"/>
      <w:sz w:val="16"/>
      <w:szCs w:val="16"/>
    </w:rPr>
  </w:style>
  <w:style w:type="character" w:customStyle="1" w:styleId="BalloonTextChar">
    <w:name w:val="Balloon Text Char"/>
    <w:basedOn w:val="DefaultParagraphFont"/>
    <w:link w:val="BalloonText"/>
    <w:uiPriority w:val="99"/>
    <w:semiHidden/>
    <w:rsid w:val="00AF7357"/>
    <w:rPr>
      <w:rFonts w:ascii="Tahoma" w:eastAsia="Times New Roman" w:hAnsi="Tahoma" w:cs="Tahoma"/>
      <w:sz w:val="16"/>
      <w:szCs w:val="16"/>
      <w:lang w:val="de-DE" w:eastAsia="de-DE"/>
    </w:rPr>
  </w:style>
</w:styles>
</file>

<file path=word/webSettings.xml><?xml version="1.0" encoding="utf-8"?>
<w:webSettings xmlns:r="http://schemas.openxmlformats.org/officeDocument/2006/relationships" xmlns:w="http://schemas.openxmlformats.org/wordprocessingml/2006/main">
  <w:divs>
    <w:div w:id="148439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vrana@recetox.muni.cz"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A26661-6BA2-4DD7-A645-4E80BA2B9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638</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okonski</dc:creator>
  <cp:lastModifiedBy>vrana</cp:lastModifiedBy>
  <cp:revision>6</cp:revision>
  <dcterms:created xsi:type="dcterms:W3CDTF">2015-05-18T10:47:00Z</dcterms:created>
  <dcterms:modified xsi:type="dcterms:W3CDTF">2015-05-18T13:40:00Z</dcterms:modified>
</cp:coreProperties>
</file>