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C5" w:rsidRDefault="005114B8" w:rsidP="00C10BC5">
      <w:pPr>
        <w:spacing w:after="120" w:line="240" w:lineRule="auto"/>
        <w:rPr>
          <w:rFonts w:ascii="Arial" w:eastAsia="Times New Roman" w:hAnsi="Arial" w:cs="Arial"/>
          <w:b/>
          <w:noProof/>
          <w:sz w:val="28"/>
          <w:szCs w:val="28"/>
          <w:lang w:val="en-US" w:eastAsia="de-DE"/>
        </w:rPr>
      </w:pPr>
      <w:r w:rsidRPr="009F7327">
        <w:rPr>
          <w:rFonts w:ascii="Arial" w:eastAsia="Times New Roman" w:hAnsi="Arial" w:cs="Arial"/>
          <w:b/>
          <w:noProof/>
          <w:sz w:val="28"/>
          <w:szCs w:val="28"/>
          <w:lang w:val="en-US" w:eastAsia="de-DE"/>
        </w:rPr>
        <w:t xml:space="preserve">Application of </w:t>
      </w:r>
      <w:r w:rsidR="00C0652A" w:rsidRPr="009F7327">
        <w:rPr>
          <w:rFonts w:ascii="Arial" w:eastAsia="Times New Roman" w:hAnsi="Arial" w:cs="Arial"/>
          <w:b/>
          <w:noProof/>
          <w:sz w:val="28"/>
          <w:szCs w:val="28"/>
          <w:lang w:val="en-US" w:eastAsia="de-DE"/>
        </w:rPr>
        <w:t>activated</w:t>
      </w:r>
      <w:r w:rsidRPr="009F7327">
        <w:rPr>
          <w:rFonts w:ascii="Arial" w:eastAsia="Times New Roman" w:hAnsi="Arial" w:cs="Arial"/>
          <w:b/>
          <w:noProof/>
          <w:sz w:val="28"/>
          <w:szCs w:val="28"/>
          <w:lang w:val="en-US" w:eastAsia="de-DE"/>
        </w:rPr>
        <w:t xml:space="preserve"> biochars for reduction of ecotoxicity in different soils contaminated by PAHs</w:t>
      </w:r>
    </w:p>
    <w:p w:rsidR="00C10BC5" w:rsidRPr="00C10BC5" w:rsidRDefault="00C10BC5" w:rsidP="00C10BC5">
      <w:pPr>
        <w:spacing w:after="120" w:line="240" w:lineRule="auto"/>
        <w:rPr>
          <w:rFonts w:ascii="Arial" w:eastAsia="Times New Roman" w:hAnsi="Arial" w:cs="Arial"/>
          <w:b/>
          <w:noProof/>
          <w:sz w:val="32"/>
          <w:szCs w:val="28"/>
          <w:lang w:val="en-US" w:eastAsia="de-DE"/>
        </w:rPr>
      </w:pPr>
    </w:p>
    <w:p w:rsidR="00B25002" w:rsidRPr="00C10BC5" w:rsidRDefault="00B25002" w:rsidP="00C10BC5">
      <w:pPr>
        <w:spacing w:after="120" w:line="240" w:lineRule="auto"/>
        <w:ind w:right="-1"/>
        <w:rPr>
          <w:rFonts w:ascii="Arial" w:eastAsia="Times New Roman" w:hAnsi="Arial" w:cs="Arial"/>
          <w:b/>
          <w:noProof/>
          <w:sz w:val="28"/>
          <w:szCs w:val="28"/>
          <w:lang w:val="en-US" w:eastAsia="de-DE"/>
        </w:rPr>
      </w:pPr>
      <w:r w:rsidRPr="009A6416">
        <w:rPr>
          <w:rFonts w:ascii="Arial" w:eastAsia="Times New Roman" w:hAnsi="Arial" w:cs="Arial"/>
          <w:smallCaps/>
          <w:noProof/>
          <w:sz w:val="24"/>
          <w:szCs w:val="24"/>
          <w:u w:val="single"/>
          <w:lang w:val="en-US" w:eastAsia="de-DE"/>
        </w:rPr>
        <w:t>Michał Kołtowski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u w:val="single"/>
          <w:vertAlign w:val="superscript"/>
          <w:lang w:val="en-US" w:eastAsia="de-DE"/>
        </w:rPr>
        <w:t>1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Isabel Hilber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2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Thomas D. Bucheli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2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Barbara Charmas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3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 xml:space="preserve">, 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br/>
        <w:t>Jadwiga Skubiszewska-Zięba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3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lang w:val="en-US" w:eastAsia="de-DE"/>
        </w:rPr>
        <w:t>, Patryk Oleszczuk</w:t>
      </w:r>
      <w:r w:rsidRPr="009A6416">
        <w:rPr>
          <w:rFonts w:ascii="Arial" w:eastAsia="Times New Roman" w:hAnsi="Arial" w:cs="Arial"/>
          <w:smallCaps/>
          <w:noProof/>
          <w:sz w:val="24"/>
          <w:szCs w:val="24"/>
          <w:vertAlign w:val="superscript"/>
          <w:lang w:val="en-US" w:eastAsia="de-DE"/>
        </w:rPr>
        <w:t>1</w:t>
      </w:r>
      <w:bookmarkStart w:id="0" w:name="_GoBack"/>
      <w:bookmarkEnd w:id="0"/>
    </w:p>
    <w:p w:rsidR="008E7982" w:rsidRPr="009F7327" w:rsidRDefault="00B25002" w:rsidP="009F7327">
      <w:pPr>
        <w:spacing w:after="0" w:line="240" w:lineRule="auto"/>
        <w:ind w:right="-1"/>
        <w:outlineLvl w:val="0"/>
        <w:rPr>
          <w:rFonts w:ascii="Arial" w:eastAsia="Times New Roman" w:hAnsi="Arial" w:cs="Arial"/>
          <w:noProof/>
          <w:sz w:val="18"/>
          <w:szCs w:val="20"/>
          <w:lang w:val="en-US" w:eastAsia="de-DE"/>
        </w:rPr>
      </w:pPr>
      <w:r w:rsidRPr="009F7327">
        <w:rPr>
          <w:rFonts w:ascii="Arial" w:eastAsia="Times New Roman" w:hAnsi="Arial" w:cs="Arial"/>
          <w:noProof/>
          <w:sz w:val="18"/>
          <w:szCs w:val="20"/>
          <w:vertAlign w:val="superscript"/>
          <w:lang w:val="en-US" w:eastAsia="de-DE"/>
        </w:rPr>
        <w:t>1</w:t>
      </w:r>
      <w:r w:rsidRP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t xml:space="preserve">Department of Environmental Chemistry, </w:t>
      </w:r>
      <w:r w:rsidR="008E7982" w:rsidRP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t>Faculty of Chemistry, Maria Curie-Sklodowska Uni</w:t>
      </w:r>
      <w:r w:rsidR="009A6416" w:rsidRP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t xml:space="preserve">versity, </w:t>
      </w:r>
      <w:r w:rsid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br/>
      </w:r>
      <w:r w:rsidR="009A6416" w:rsidRP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t>Maria Curie-Sklodowska </w:t>
      </w:r>
      <w:r w:rsidR="008E7982" w:rsidRP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t>Sq. 3, 20-031 Lublin, Poland</w:t>
      </w:r>
      <w:r w:rsidR="009A6416" w:rsidRP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t xml:space="preserve">, </w:t>
      </w:r>
      <w:hyperlink r:id="rId4" w:history="1">
        <w:r w:rsidR="009A6416" w:rsidRPr="009F7327">
          <w:rPr>
            <w:rFonts w:ascii="Arial" w:eastAsia="Times New Roman" w:hAnsi="Arial" w:cs="Arial"/>
            <w:noProof/>
            <w:sz w:val="18"/>
            <w:lang w:val="en-US" w:eastAsia="de-DE"/>
          </w:rPr>
          <w:t>michal.koltowski@poczta.umcs.lublin.pl</w:t>
        </w:r>
      </w:hyperlink>
      <w:r w:rsidR="009A6416" w:rsidRP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t>,</w:t>
      </w:r>
      <w:r w:rsidR="00895F62" w:rsidRP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t xml:space="preserve"> </w:t>
      </w:r>
      <w:r w:rsidR="009A6416" w:rsidRPr="009F7327">
        <w:rPr>
          <w:rFonts w:ascii="Arial" w:eastAsia="Times New Roman" w:hAnsi="Arial" w:cs="Arial"/>
          <w:noProof/>
          <w:sz w:val="18"/>
          <w:lang w:val="en-US" w:eastAsia="de-DE"/>
        </w:rPr>
        <w:t>patryk.oleszczuk@poczta.umcs.lublin.pl</w:t>
      </w:r>
    </w:p>
    <w:p w:rsidR="00B25002" w:rsidRPr="009F7327" w:rsidRDefault="00B25002" w:rsidP="009F7327">
      <w:pPr>
        <w:spacing w:after="0" w:line="240" w:lineRule="auto"/>
        <w:ind w:right="-1"/>
        <w:outlineLvl w:val="0"/>
        <w:rPr>
          <w:rFonts w:ascii="Arial" w:eastAsia="Times New Roman" w:hAnsi="Arial" w:cs="Arial"/>
          <w:noProof/>
          <w:sz w:val="18"/>
          <w:szCs w:val="20"/>
          <w:lang w:val="en-US" w:eastAsia="de-DE"/>
        </w:rPr>
      </w:pPr>
      <w:r w:rsidRPr="009F7327">
        <w:rPr>
          <w:rFonts w:ascii="Arial" w:eastAsia="Times New Roman" w:hAnsi="Arial" w:cs="Arial"/>
          <w:noProof/>
          <w:sz w:val="18"/>
          <w:szCs w:val="20"/>
          <w:vertAlign w:val="superscript"/>
          <w:lang w:val="en-US" w:eastAsia="de-DE"/>
        </w:rPr>
        <w:t>2</w:t>
      </w:r>
      <w:r w:rsidRP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t>Agroscope Reckenholz-Tanikon, Research Station ART, Reckenholzstrasse 191, 8046 Zürich, Switzerland</w:t>
      </w:r>
      <w:r w:rsidR="009A6416" w:rsidRP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t>,</w:t>
      </w:r>
      <w:r w:rsidR="009A6416" w:rsidRPr="009F7327">
        <w:rPr>
          <w:lang w:val="en-US"/>
        </w:rPr>
        <w:t xml:space="preserve"> </w:t>
      </w:r>
      <w:hyperlink r:id="rId5" w:history="1">
        <w:r w:rsidR="009A6416" w:rsidRPr="009F7327">
          <w:rPr>
            <w:rFonts w:ascii="Arial" w:eastAsia="Times New Roman" w:hAnsi="Arial" w:cs="Arial"/>
            <w:noProof/>
            <w:sz w:val="18"/>
            <w:lang w:val="en-US" w:eastAsia="de-DE"/>
          </w:rPr>
          <w:t>isabel.hilber@agroscope.admin.ch</w:t>
        </w:r>
      </w:hyperlink>
      <w:r w:rsidR="009A6416" w:rsidRPr="009F7327">
        <w:rPr>
          <w:rFonts w:ascii="Arial" w:eastAsia="Times New Roman" w:hAnsi="Arial" w:cs="Arial"/>
          <w:noProof/>
          <w:sz w:val="18"/>
          <w:lang w:val="en-US" w:eastAsia="de-DE"/>
        </w:rPr>
        <w:t xml:space="preserve">, </w:t>
      </w:r>
      <w:hyperlink r:id="rId6" w:history="1">
        <w:r w:rsidR="009A6416" w:rsidRPr="009F7327">
          <w:rPr>
            <w:rFonts w:ascii="Arial" w:eastAsia="Times New Roman" w:hAnsi="Arial" w:cs="Arial"/>
            <w:noProof/>
            <w:sz w:val="18"/>
            <w:lang w:val="en-US" w:eastAsia="de-DE"/>
          </w:rPr>
          <w:t>thomas.bucheli@agroscope.admin.ch</w:t>
        </w:r>
      </w:hyperlink>
    </w:p>
    <w:p w:rsidR="00B25002" w:rsidRPr="009F7327" w:rsidRDefault="00B25002" w:rsidP="009F7327">
      <w:pPr>
        <w:spacing w:after="120" w:line="240" w:lineRule="auto"/>
        <w:ind w:right="-1"/>
        <w:outlineLvl w:val="0"/>
        <w:rPr>
          <w:rFonts w:ascii="Arial" w:eastAsia="Times New Roman" w:hAnsi="Arial" w:cs="Arial"/>
          <w:noProof/>
          <w:sz w:val="18"/>
          <w:szCs w:val="20"/>
          <w:lang w:val="en-US" w:eastAsia="de-DE"/>
        </w:rPr>
      </w:pPr>
      <w:r w:rsidRPr="009F7327">
        <w:rPr>
          <w:rFonts w:ascii="Arial" w:eastAsia="Times New Roman" w:hAnsi="Arial" w:cs="Arial"/>
          <w:noProof/>
          <w:sz w:val="18"/>
          <w:szCs w:val="20"/>
          <w:vertAlign w:val="superscript"/>
          <w:lang w:val="en-US" w:eastAsia="de-DE"/>
        </w:rPr>
        <w:t>3</w:t>
      </w:r>
      <w:r w:rsidRP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t xml:space="preserve">Department of Chromatographic Methods, Faculty of Chemistry, Maria Curie-Sklodowska University, </w:t>
      </w:r>
      <w:r w:rsid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br/>
      </w:r>
      <w:r w:rsidRP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t>Maria Curie-Sklodowska Sq. 3, 20-031 Lublin, Poland</w:t>
      </w:r>
      <w:r w:rsidR="009A6416" w:rsidRPr="009F7327">
        <w:rPr>
          <w:rFonts w:ascii="Arial" w:eastAsia="Times New Roman" w:hAnsi="Arial" w:cs="Arial"/>
          <w:noProof/>
          <w:sz w:val="18"/>
          <w:szCs w:val="20"/>
          <w:lang w:val="en-US" w:eastAsia="de-DE"/>
        </w:rPr>
        <w:t xml:space="preserve">, </w:t>
      </w:r>
      <w:hyperlink r:id="rId7" w:history="1">
        <w:r w:rsidR="009A6416" w:rsidRPr="009F7327">
          <w:rPr>
            <w:rFonts w:ascii="Arial" w:eastAsia="Times New Roman" w:hAnsi="Arial" w:cs="Arial"/>
            <w:noProof/>
            <w:sz w:val="18"/>
            <w:lang w:val="en-US" w:eastAsia="de-DE"/>
          </w:rPr>
          <w:t>barbara.charmas@poczta.umcs.lublin.pl</w:t>
        </w:r>
      </w:hyperlink>
      <w:r w:rsidR="009A6416" w:rsidRPr="009F7327">
        <w:rPr>
          <w:rFonts w:ascii="Arial" w:eastAsia="Times New Roman" w:hAnsi="Arial" w:cs="Arial"/>
          <w:noProof/>
          <w:sz w:val="18"/>
          <w:lang w:val="en-US" w:eastAsia="de-DE"/>
        </w:rPr>
        <w:t xml:space="preserve">, </w:t>
      </w:r>
      <w:hyperlink r:id="rId8" w:history="1">
        <w:r w:rsidR="009A6416" w:rsidRPr="009F7327">
          <w:rPr>
            <w:rFonts w:ascii="Arial" w:eastAsia="Times New Roman" w:hAnsi="Arial" w:cs="Arial"/>
            <w:noProof/>
            <w:sz w:val="18"/>
            <w:lang w:val="en-US" w:eastAsia="de-DE"/>
          </w:rPr>
          <w:t>jskubisz@poczta.umcs.lublin.pl</w:t>
        </w:r>
      </w:hyperlink>
    </w:p>
    <w:p w:rsidR="009A6416" w:rsidRPr="00895F62" w:rsidRDefault="009A6416" w:rsidP="009F73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lang w:val="en-US"/>
        </w:rPr>
      </w:pPr>
    </w:p>
    <w:p w:rsidR="009A6416" w:rsidRDefault="005114B8" w:rsidP="009F7327">
      <w:pPr>
        <w:spacing w:after="0" w:line="240" w:lineRule="auto"/>
        <w:ind w:right="-1"/>
        <w:jc w:val="both"/>
        <w:rPr>
          <w:rFonts w:ascii="Arial" w:eastAsia="Times New Roman" w:hAnsi="Arial" w:cs="Arial"/>
          <w:noProof/>
          <w:sz w:val="20"/>
          <w:szCs w:val="20"/>
          <w:lang w:val="en-US" w:eastAsia="de-DE"/>
        </w:rPr>
      </w:pPr>
      <w:r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Hard coal is a main energy source in Poland and there are many coke plants producing this kind of fuel. Production of the hard coal </w:t>
      </w:r>
      <w:r w:rsidR="00FC6A4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is </w:t>
      </w:r>
      <w:r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strongly connected with polycyclic aromatic hydrocarbons (PAHs) emission</w:t>
      </w:r>
      <w:r w:rsidR="002228C1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to the environment</w:t>
      </w:r>
      <w:r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. </w:t>
      </w:r>
      <w:r w:rsidR="008335B8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Polycyclic aromatic hydrocarbons 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are compounds that may adversely affect the health of humans and </w:t>
      </w:r>
      <w:r w:rsidR="00FC6A4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other 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living organisms. </w:t>
      </w:r>
      <w:r w:rsidR="00FC6A4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Moreover, PAHs could enter to the soil provoking toxic effects also for soil dwelling organisms.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One </w:t>
      </w:r>
      <w:r w:rsidR="00FC6A4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possibility to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remediat</w:t>
      </w:r>
      <w:r w:rsidR="00FC6A4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e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soils </w:t>
      </w:r>
      <w:r w:rsidR="00FC6A4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that are 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contaminated by PAHs is </w:t>
      </w:r>
      <w:r w:rsidR="00FC6A4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to bind and immobilize them with 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biochar.</w:t>
      </w:r>
      <w:r w:rsidR="00C0652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The aim of this study was to reduce the ecotoxicity of PAH contamin</w:t>
      </w:r>
      <w:r w:rsidR="002228C1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ated soils by adding biochar</w:t>
      </w:r>
      <w:r w:rsidR="0066005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FC6A4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pyrolysed </w:t>
      </w:r>
      <w:r w:rsidR="0066005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from willow</w:t>
      </w:r>
      <w:r w:rsidR="002228C1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.</w:t>
      </w:r>
      <w:r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F716D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To improve the biochar porous structure and binding capacity</w:t>
      </w:r>
      <w:r w:rsidR="00F716DA" w:rsidRPr="009A6416" w:rsidDel="00F716DA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F716D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it </w:t>
      </w:r>
      <w:r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was subje</w:t>
      </w:r>
      <w:r w:rsidR="002228C1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cted to </w:t>
      </w:r>
      <w:r w:rsidR="00F716D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a </w:t>
      </w:r>
      <w:r w:rsidR="002228C1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range of </w:t>
      </w:r>
      <w:r w:rsidR="00C0652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activations</w:t>
      </w:r>
      <w:r w:rsidR="002228C1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by microwaves (in a microwave reactor unde</w:t>
      </w:r>
      <w:r w:rsidR="00A339D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r an atmosphere of </w:t>
      </w:r>
      <w:r w:rsidR="00C0652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superheated steam</w:t>
      </w:r>
      <w:r w:rsidR="00A339D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)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and the activation in the quar</w:t>
      </w:r>
      <w:r w:rsidR="00B5137C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tz fluidized bed reactor at 800°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C using the carbon</w:t>
      </w:r>
      <w:r w:rsidR="0066005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dioxide and superheated steam. </w:t>
      </w:r>
      <w:r w:rsidR="00CA716E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Activated</w:t>
      </w:r>
      <w:r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biochars </w:t>
      </w:r>
      <w:r w:rsidR="00C0652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were applied</w:t>
      </w:r>
      <w:r w:rsidR="0055088B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to three types of soil</w:t>
      </w:r>
      <w:r w:rsidR="0055088B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s: </w:t>
      </w:r>
      <w:r w:rsidR="00BB3726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1)</w:t>
      </w:r>
      <w:r w:rsidR="00A339D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from landfill, where industrial wastes from coking plant are deposited</w:t>
      </w:r>
      <w:r w:rsidR="00C0652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(KB</w:t>
      </w:r>
      <w:r w:rsidR="0004228E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)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, </w:t>
      </w:r>
      <w:r w:rsidR="00BB3726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2)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from the area of coking bat</w:t>
      </w:r>
      <w:r w:rsidR="0002075B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tery (</w:t>
      </w:r>
      <w:r w:rsidR="00C0652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KOK</w:t>
      </w:r>
      <w:r w:rsidR="0002075B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),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and </w:t>
      </w:r>
      <w:r w:rsidR="00BB3726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3)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from the area of bitumen processing plant (</w:t>
      </w:r>
      <w:r w:rsidR="00C0652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POPI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).</w:t>
      </w:r>
    </w:p>
    <w:p w:rsidR="000A3D90" w:rsidRPr="009A6416" w:rsidRDefault="000A3D90" w:rsidP="009F7327">
      <w:pPr>
        <w:spacing w:after="0" w:line="240" w:lineRule="auto"/>
        <w:ind w:right="-1"/>
        <w:jc w:val="both"/>
        <w:rPr>
          <w:rFonts w:ascii="Arial" w:eastAsia="Times New Roman" w:hAnsi="Arial" w:cs="Arial"/>
          <w:noProof/>
          <w:sz w:val="20"/>
          <w:szCs w:val="20"/>
          <w:lang w:val="en-US" w:eastAsia="de-DE"/>
        </w:rPr>
      </w:pPr>
    </w:p>
    <w:p w:rsidR="000A3D90" w:rsidRDefault="00EE0EEB" w:rsidP="009F7327">
      <w:pPr>
        <w:spacing w:after="0" w:line="240" w:lineRule="auto"/>
        <w:ind w:right="-1"/>
        <w:jc w:val="both"/>
        <w:rPr>
          <w:rFonts w:ascii="Arial" w:eastAsia="Times New Roman" w:hAnsi="Arial" w:cs="Arial"/>
          <w:noProof/>
          <w:sz w:val="20"/>
          <w:szCs w:val="20"/>
          <w:lang w:val="en-US" w:eastAsia="de-DE"/>
        </w:rPr>
      </w:pPr>
      <w:r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Soils were mixed with original and activated biochars with 5.0% w/w dose and conditioned for two months in the dark</w:t>
      </w:r>
      <w:r w:rsidR="000A3D90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. </w:t>
      </w:r>
      <w:r w:rsidR="005114B8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 battery of three bioassays was used for ecotoxicological evaluation of samples: Phytotoxkit F (</w:t>
      </w:r>
      <w:r w:rsidR="005114B8" w:rsidRPr="00411D19">
        <w:rPr>
          <w:rFonts w:ascii="Arial" w:eastAsia="Times New Roman" w:hAnsi="Arial" w:cs="Arial"/>
          <w:i/>
          <w:noProof/>
          <w:sz w:val="20"/>
          <w:szCs w:val="20"/>
          <w:lang w:val="en-US" w:eastAsia="de-DE"/>
        </w:rPr>
        <w:t>Lapidium sativum</w:t>
      </w:r>
      <w:r w:rsidR="00825622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), </w:t>
      </w:r>
      <w:r w:rsidR="005114B8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Collembolan test (</w:t>
      </w:r>
      <w:r w:rsidR="005114B8" w:rsidRPr="00411D19">
        <w:rPr>
          <w:rFonts w:ascii="Arial" w:eastAsia="Times New Roman" w:hAnsi="Arial" w:cs="Arial"/>
          <w:i/>
          <w:noProof/>
          <w:sz w:val="20"/>
          <w:szCs w:val="20"/>
          <w:lang w:val="en-US" w:eastAsia="de-DE"/>
        </w:rPr>
        <w:t>Folsomia candida</w:t>
      </w:r>
      <w:r w:rsidR="005114B8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) and Microtox® (</w:t>
      </w:r>
      <w:r w:rsidR="005114B8" w:rsidRPr="00411D19">
        <w:rPr>
          <w:rFonts w:ascii="Arial" w:eastAsia="Times New Roman" w:hAnsi="Arial" w:cs="Arial"/>
          <w:i/>
          <w:noProof/>
          <w:sz w:val="20"/>
          <w:szCs w:val="20"/>
          <w:lang w:val="en-US" w:eastAsia="de-DE"/>
        </w:rPr>
        <w:t>Vibrio fischeri</w:t>
      </w:r>
      <w:r w:rsidR="005114B8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). Solid phase soil samples were tested in Phytotoxkit F and Collembolan test, whereas in the case of Microtox®, leachates from investigated soils were analysed.</w:t>
      </w:r>
    </w:p>
    <w:p w:rsidR="009A6416" w:rsidRPr="009A6416" w:rsidRDefault="009A6416" w:rsidP="009F7327">
      <w:pPr>
        <w:spacing w:after="0" w:line="240" w:lineRule="auto"/>
        <w:ind w:right="-1"/>
        <w:jc w:val="both"/>
        <w:rPr>
          <w:rFonts w:ascii="Arial" w:eastAsia="Times New Roman" w:hAnsi="Arial" w:cs="Arial"/>
          <w:noProof/>
          <w:sz w:val="20"/>
          <w:szCs w:val="20"/>
          <w:lang w:val="en-US" w:eastAsia="de-DE"/>
        </w:rPr>
      </w:pPr>
    </w:p>
    <w:p w:rsidR="00622A37" w:rsidRDefault="001A272B" w:rsidP="009F7327">
      <w:pPr>
        <w:spacing w:after="0" w:line="240" w:lineRule="auto"/>
        <w:ind w:right="-1"/>
        <w:jc w:val="both"/>
        <w:rPr>
          <w:rFonts w:ascii="Arial" w:eastAsia="Times New Roman" w:hAnsi="Arial" w:cs="Arial"/>
          <w:noProof/>
          <w:sz w:val="20"/>
          <w:szCs w:val="20"/>
          <w:lang w:val="en-US" w:eastAsia="de-DE"/>
        </w:rPr>
      </w:pPr>
      <w:r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The highest content of total 16 PAHs was noted in KOK soil (39.9 mg/kg), next for KB (17.2 mg/kg) and POPI (9.2 mg/kg).</w:t>
      </w:r>
      <w:r w:rsidR="0004228E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The biochars had a significantly increased surface area, surface of micropores and volume of micropores</w:t>
      </w:r>
      <w:r w:rsidR="0004228E" w:rsidRPr="009A6416" w:rsidDel="0004228E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04228E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due to the activation by the treatments. </w:t>
      </w:r>
      <w:r w:rsidR="00BC481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The </w:t>
      </w:r>
      <w:r w:rsidR="00C0652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ecotoxicity</w:t>
      </w:r>
      <w:r w:rsidR="00BC481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depend on soil type and type of the</w:t>
      </w:r>
      <w:r w:rsidR="00C0652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biochar</w:t>
      </w:r>
      <w:r w:rsidR="00BC481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activation. </w:t>
      </w:r>
      <w:r w:rsidR="00D945A9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Bioassays results showed that biochar activations coul</w:t>
      </w:r>
      <w:r w:rsidR="0002075B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d lead to less toxicity</w:t>
      </w:r>
      <w:r w:rsidR="0004228E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.</w:t>
      </w:r>
      <w:r w:rsidR="00C0652A" w:rsidRPr="009A6416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The most promising biochar were that activated by superheated steam, which showed the best results in used bioassays.</w:t>
      </w:r>
    </w:p>
    <w:p w:rsidR="009A6416" w:rsidRDefault="009A6416" w:rsidP="009F7327">
      <w:pPr>
        <w:spacing w:after="0" w:line="240" w:lineRule="auto"/>
        <w:ind w:right="-1"/>
        <w:jc w:val="both"/>
        <w:rPr>
          <w:rFonts w:ascii="Arial" w:eastAsia="Times New Roman" w:hAnsi="Arial" w:cs="Arial"/>
          <w:noProof/>
          <w:sz w:val="20"/>
          <w:szCs w:val="20"/>
          <w:lang w:val="en-US" w:eastAsia="de-DE"/>
        </w:rPr>
      </w:pPr>
    </w:p>
    <w:p w:rsidR="009A6416" w:rsidRPr="001D429E" w:rsidRDefault="009A6416" w:rsidP="009F7327">
      <w:pPr>
        <w:ind w:right="-1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1D429E">
        <w:rPr>
          <w:rFonts w:ascii="Arial" w:hAnsi="Arial" w:cs="Arial"/>
          <w:noProof/>
          <w:sz w:val="20"/>
          <w:szCs w:val="20"/>
          <w:lang w:val="en-US"/>
        </w:rPr>
        <w:t>This work was supported by a grant from Switzerland through the Swiss Contribution to the enlarged European Union.</w:t>
      </w:r>
    </w:p>
    <w:p w:rsidR="009A6416" w:rsidRPr="009A6416" w:rsidRDefault="009A6416" w:rsidP="009F7327">
      <w:pPr>
        <w:spacing w:after="0" w:line="240" w:lineRule="auto"/>
        <w:ind w:right="-1"/>
        <w:jc w:val="both"/>
        <w:rPr>
          <w:rFonts w:ascii="Arial" w:eastAsia="Times New Roman" w:hAnsi="Arial" w:cs="Arial"/>
          <w:noProof/>
          <w:sz w:val="20"/>
          <w:szCs w:val="20"/>
          <w:lang w:val="en-US" w:eastAsia="de-DE"/>
        </w:rPr>
      </w:pPr>
    </w:p>
    <w:sectPr w:rsidR="009A6416" w:rsidRPr="009A6416" w:rsidSect="009F732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0"/>
    <w:rsid w:val="0002075B"/>
    <w:rsid w:val="0004228E"/>
    <w:rsid w:val="00071F0A"/>
    <w:rsid w:val="000A3D90"/>
    <w:rsid w:val="000B1A3A"/>
    <w:rsid w:val="001A272B"/>
    <w:rsid w:val="002228C1"/>
    <w:rsid w:val="002B6366"/>
    <w:rsid w:val="003F4BBE"/>
    <w:rsid w:val="00411D19"/>
    <w:rsid w:val="00413232"/>
    <w:rsid w:val="005114B8"/>
    <w:rsid w:val="00511563"/>
    <w:rsid w:val="0055088B"/>
    <w:rsid w:val="00622A37"/>
    <w:rsid w:val="0066005A"/>
    <w:rsid w:val="00825622"/>
    <w:rsid w:val="008335B8"/>
    <w:rsid w:val="00895F62"/>
    <w:rsid w:val="008D7B08"/>
    <w:rsid w:val="008E7982"/>
    <w:rsid w:val="009A6416"/>
    <w:rsid w:val="009F7327"/>
    <w:rsid w:val="00A339DA"/>
    <w:rsid w:val="00A54E81"/>
    <w:rsid w:val="00B25002"/>
    <w:rsid w:val="00B5137C"/>
    <w:rsid w:val="00BB3726"/>
    <w:rsid w:val="00BC481A"/>
    <w:rsid w:val="00BD2A2B"/>
    <w:rsid w:val="00C0652A"/>
    <w:rsid w:val="00C10BC5"/>
    <w:rsid w:val="00C928E1"/>
    <w:rsid w:val="00CA2D7A"/>
    <w:rsid w:val="00CA716E"/>
    <w:rsid w:val="00CF3D00"/>
    <w:rsid w:val="00D945A9"/>
    <w:rsid w:val="00E63222"/>
    <w:rsid w:val="00E81034"/>
    <w:rsid w:val="00EE0EEB"/>
    <w:rsid w:val="00EE252D"/>
    <w:rsid w:val="00F24E91"/>
    <w:rsid w:val="00F716DA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4D3DA6-B295-46C1-A567-0DC034EA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114B8"/>
    <w:pPr>
      <w:spacing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5114B8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paragraph" w:customStyle="1" w:styleId="Affiliation">
    <w:name w:val="Affiliation"/>
    <w:basedOn w:val="Normalny"/>
    <w:qFormat/>
    <w:rsid w:val="00B25002"/>
    <w:pPr>
      <w:pBdr>
        <w:bottom w:val="single" w:sz="8" w:space="10" w:color="auto"/>
      </w:pBdr>
      <w:spacing w:after="0" w:line="240" w:lineRule="auto"/>
      <w:jc w:val="center"/>
    </w:pPr>
    <w:rPr>
      <w:rFonts w:ascii="Arial" w:eastAsia="Times New Roman" w:hAnsi="Arial" w:cs="Arial"/>
      <w:noProof/>
      <w:sz w:val="20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A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A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A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A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6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kubisz@poczta.umcs.lubl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ra.charmas@poczta.umcs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bucheli@agroscope.admin.ch" TargetMode="External"/><Relationship Id="rId5" Type="http://schemas.openxmlformats.org/officeDocument/2006/relationships/hyperlink" Target="mailto:isabel.hilber@agroscope.admin.ch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chal.koltowski@poczta.umcs.lublin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Michał Kołtowski</cp:lastModifiedBy>
  <cp:revision>9</cp:revision>
  <dcterms:created xsi:type="dcterms:W3CDTF">2015-04-20T06:50:00Z</dcterms:created>
  <dcterms:modified xsi:type="dcterms:W3CDTF">2015-05-19T10:08:00Z</dcterms:modified>
</cp:coreProperties>
</file>