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14" w:rsidRPr="00903549" w:rsidRDefault="0028767D" w:rsidP="00BD657B">
      <w:pPr>
        <w:spacing w:after="120" w:line="240" w:lineRule="auto"/>
        <w:rPr>
          <w:rFonts w:ascii="Arial" w:eastAsia="Times New Roman" w:hAnsi="Arial" w:cs="Arial"/>
          <w:b/>
          <w:noProof/>
          <w:sz w:val="28"/>
          <w:szCs w:val="28"/>
          <w:lang w:val="en-GB" w:eastAsia="de-DE"/>
        </w:rPr>
      </w:pPr>
      <w:r w:rsidRPr="00903549">
        <w:rPr>
          <w:rFonts w:ascii="Arial" w:eastAsia="Times New Roman" w:hAnsi="Arial" w:cs="Arial"/>
          <w:b/>
          <w:noProof/>
          <w:sz w:val="28"/>
          <w:szCs w:val="28"/>
          <w:lang w:val="en-GB" w:eastAsia="de-DE"/>
        </w:rPr>
        <w:t>Activated biochars reduc</w:t>
      </w:r>
      <w:r w:rsidR="00040496">
        <w:rPr>
          <w:rFonts w:ascii="Arial" w:eastAsia="Times New Roman" w:hAnsi="Arial" w:cs="Arial"/>
          <w:b/>
          <w:noProof/>
          <w:sz w:val="28"/>
          <w:szCs w:val="28"/>
          <w:lang w:val="en-GB" w:eastAsia="de-DE"/>
        </w:rPr>
        <w:t>e</w:t>
      </w:r>
      <w:r w:rsidRPr="00903549">
        <w:rPr>
          <w:rFonts w:ascii="Arial" w:eastAsia="Times New Roman" w:hAnsi="Arial" w:cs="Arial"/>
          <w:b/>
          <w:noProof/>
          <w:sz w:val="28"/>
          <w:szCs w:val="28"/>
          <w:lang w:val="en-GB" w:eastAsia="de-DE"/>
        </w:rPr>
        <w:t xml:space="preserve"> </w:t>
      </w:r>
      <w:r w:rsidR="00040496">
        <w:rPr>
          <w:rFonts w:ascii="Arial" w:eastAsia="Times New Roman" w:hAnsi="Arial" w:cs="Arial"/>
          <w:b/>
          <w:noProof/>
          <w:sz w:val="28"/>
          <w:szCs w:val="28"/>
          <w:lang w:val="en-GB" w:eastAsia="de-DE"/>
        </w:rPr>
        <w:t xml:space="preserve">the exposure </w:t>
      </w:r>
      <w:r w:rsidRPr="00903549">
        <w:rPr>
          <w:rFonts w:ascii="Arial" w:eastAsia="Times New Roman" w:hAnsi="Arial" w:cs="Arial"/>
          <w:b/>
          <w:noProof/>
          <w:sz w:val="28"/>
          <w:szCs w:val="28"/>
          <w:lang w:val="en-GB" w:eastAsia="de-DE"/>
        </w:rPr>
        <w:t>of polycyclic aromatic hydrocarbons in soils</w:t>
      </w:r>
    </w:p>
    <w:p w:rsidR="0028767D" w:rsidRPr="0028767D" w:rsidRDefault="0028767D" w:rsidP="00BD657B">
      <w:pPr>
        <w:spacing w:after="120" w:line="240" w:lineRule="auto"/>
        <w:ind w:right="-567"/>
        <w:rPr>
          <w:rFonts w:ascii="Arial" w:hAnsi="Arial" w:cs="Arial"/>
          <w:b/>
          <w:sz w:val="32"/>
          <w:lang w:val="en-US"/>
        </w:rPr>
      </w:pPr>
    </w:p>
    <w:p w:rsidR="00D66A14" w:rsidRPr="009A6416" w:rsidRDefault="00D66A14" w:rsidP="005F1C8C">
      <w:pPr>
        <w:spacing w:after="120" w:line="240" w:lineRule="auto"/>
        <w:ind w:right="-1"/>
        <w:rPr>
          <w:rFonts w:ascii="Arial" w:eastAsia="Times New Roman" w:hAnsi="Arial" w:cs="Arial"/>
          <w:smallCaps/>
          <w:noProof/>
          <w:sz w:val="24"/>
          <w:szCs w:val="24"/>
          <w:u w:val="single"/>
          <w:lang w:val="en-US" w:eastAsia="de-DE"/>
        </w:rPr>
      </w:pPr>
      <w:r w:rsidRPr="009A6416">
        <w:rPr>
          <w:rFonts w:ascii="Arial" w:eastAsia="Times New Roman" w:hAnsi="Arial" w:cs="Arial"/>
          <w:smallCaps/>
          <w:noProof/>
          <w:sz w:val="24"/>
          <w:szCs w:val="24"/>
          <w:u w:val="single"/>
          <w:lang w:val="en-US" w:eastAsia="de-DE"/>
        </w:rPr>
        <w:t>Michał Kołtowski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u w:val="single"/>
          <w:vertAlign w:val="superscript"/>
          <w:lang w:val="en-US" w:eastAsia="de-DE"/>
        </w:rPr>
        <w:t>1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Isabel Hilber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2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Thomas D. Bucheli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2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Barbara Charmas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3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 xml:space="preserve">, 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br/>
        <w:t>Jadwiga Skubiszewska-Zięba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3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Patryk Oleszczuk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1</w:t>
      </w:r>
    </w:p>
    <w:p w:rsidR="00D66A14" w:rsidRPr="00903549" w:rsidRDefault="00D66A14" w:rsidP="005F1C8C">
      <w:pPr>
        <w:spacing w:after="0" w:line="240" w:lineRule="auto"/>
        <w:ind w:right="-1"/>
        <w:outlineLvl w:val="0"/>
        <w:rPr>
          <w:rFonts w:ascii="Arial" w:eastAsia="Times New Roman" w:hAnsi="Arial" w:cs="Arial"/>
          <w:noProof/>
          <w:sz w:val="18"/>
          <w:szCs w:val="20"/>
          <w:lang w:val="en-GB" w:eastAsia="de-DE"/>
        </w:rPr>
      </w:pPr>
      <w:r w:rsidRPr="00903549">
        <w:rPr>
          <w:rFonts w:ascii="Arial" w:eastAsia="Times New Roman" w:hAnsi="Arial" w:cs="Arial"/>
          <w:noProof/>
          <w:sz w:val="18"/>
          <w:szCs w:val="20"/>
          <w:vertAlign w:val="superscript"/>
          <w:lang w:val="en-GB" w:eastAsia="de-DE"/>
        </w:rPr>
        <w:t>1</w:t>
      </w:r>
      <w:r w:rsidRPr="00903549">
        <w:rPr>
          <w:rFonts w:ascii="Arial" w:eastAsia="Times New Roman" w:hAnsi="Arial" w:cs="Arial"/>
          <w:noProof/>
          <w:sz w:val="18"/>
          <w:szCs w:val="20"/>
          <w:lang w:val="en-GB" w:eastAsia="de-DE"/>
        </w:rPr>
        <w:t xml:space="preserve">Department of Environmental Chemistry, Faculty of Chemistry, Maria Curie-Sklodowska University, </w:t>
      </w:r>
      <w:r w:rsidR="00D068FF">
        <w:rPr>
          <w:rFonts w:ascii="Arial" w:eastAsia="Times New Roman" w:hAnsi="Arial" w:cs="Arial"/>
          <w:noProof/>
          <w:sz w:val="18"/>
          <w:szCs w:val="20"/>
          <w:lang w:val="en-GB" w:eastAsia="de-DE"/>
        </w:rPr>
        <w:br/>
      </w:r>
      <w:r w:rsidR="005F1C8C">
        <w:rPr>
          <w:rFonts w:ascii="Arial" w:eastAsia="Times New Roman" w:hAnsi="Arial" w:cs="Arial"/>
          <w:noProof/>
          <w:sz w:val="18"/>
          <w:szCs w:val="20"/>
          <w:lang w:val="en-GB" w:eastAsia="de-DE"/>
        </w:rPr>
        <w:t xml:space="preserve">Maria </w:t>
      </w:r>
      <w:r w:rsidRPr="00903549">
        <w:rPr>
          <w:rFonts w:ascii="Arial" w:eastAsia="Times New Roman" w:hAnsi="Arial" w:cs="Arial"/>
          <w:noProof/>
          <w:sz w:val="18"/>
          <w:szCs w:val="20"/>
          <w:lang w:val="en-GB" w:eastAsia="de-DE"/>
        </w:rPr>
        <w:t xml:space="preserve">Curie-Sklodowska Sq. 3, 20-031 Lublin, Poland, </w:t>
      </w:r>
      <w:hyperlink r:id="rId4" w:history="1">
        <w:r w:rsidRPr="00903549">
          <w:rPr>
            <w:rFonts w:ascii="Arial" w:eastAsia="Times New Roman" w:hAnsi="Arial" w:cs="Arial"/>
            <w:noProof/>
            <w:sz w:val="18"/>
            <w:lang w:val="en-GB" w:eastAsia="de-DE"/>
          </w:rPr>
          <w:t>michal.koltowski@poczta.umcs.lublin.pl</w:t>
        </w:r>
      </w:hyperlink>
      <w:r w:rsidRPr="00903549">
        <w:rPr>
          <w:rFonts w:ascii="Arial" w:eastAsia="Times New Roman" w:hAnsi="Arial" w:cs="Arial"/>
          <w:noProof/>
          <w:sz w:val="18"/>
          <w:szCs w:val="20"/>
          <w:lang w:val="en-GB" w:eastAsia="de-DE"/>
        </w:rPr>
        <w:t>,</w:t>
      </w:r>
      <w:r w:rsidR="005F1C8C">
        <w:rPr>
          <w:rFonts w:ascii="Arial" w:eastAsia="Times New Roman" w:hAnsi="Arial" w:cs="Arial"/>
          <w:noProof/>
          <w:sz w:val="18"/>
          <w:szCs w:val="20"/>
          <w:lang w:val="en-GB" w:eastAsia="de-DE"/>
        </w:rPr>
        <w:t xml:space="preserve"> </w:t>
      </w:r>
      <w:r w:rsidRPr="00903549">
        <w:rPr>
          <w:rFonts w:ascii="Arial" w:eastAsia="Times New Roman" w:hAnsi="Arial" w:cs="Arial"/>
          <w:noProof/>
          <w:sz w:val="18"/>
          <w:lang w:val="en-GB" w:eastAsia="de-DE"/>
        </w:rPr>
        <w:t>patryk.oleszczuk@poczta.umcs.lublin.pl</w:t>
      </w:r>
    </w:p>
    <w:p w:rsidR="00D66A14" w:rsidRPr="005F1C8C" w:rsidRDefault="00D66A14" w:rsidP="00112C01">
      <w:pPr>
        <w:spacing w:after="0" w:line="240" w:lineRule="auto"/>
        <w:ind w:right="-567"/>
        <w:outlineLvl w:val="0"/>
        <w:rPr>
          <w:lang w:val="de-CH"/>
        </w:rPr>
      </w:pPr>
      <w:r w:rsidRPr="00903549">
        <w:rPr>
          <w:rFonts w:ascii="Arial" w:eastAsia="Times New Roman" w:hAnsi="Arial" w:cs="Arial"/>
          <w:noProof/>
          <w:sz w:val="18"/>
          <w:szCs w:val="20"/>
          <w:vertAlign w:val="superscript"/>
          <w:lang w:val="de-CH" w:eastAsia="de-DE"/>
        </w:rPr>
        <w:t>2</w:t>
      </w:r>
      <w:r w:rsidR="00026619" w:rsidRPr="00903549">
        <w:rPr>
          <w:rFonts w:ascii="Arial" w:eastAsia="Times New Roman" w:hAnsi="Arial" w:cs="Arial"/>
          <w:noProof/>
          <w:sz w:val="18"/>
          <w:szCs w:val="20"/>
          <w:lang w:val="de-CH" w:eastAsia="de-DE"/>
        </w:rPr>
        <w:t>Agroscope Reckenholz-Tanikon</w:t>
      </w:r>
      <w:r w:rsidRPr="00903549">
        <w:rPr>
          <w:rFonts w:ascii="Arial" w:eastAsia="Times New Roman" w:hAnsi="Arial" w:cs="Arial"/>
          <w:noProof/>
          <w:sz w:val="18"/>
          <w:szCs w:val="20"/>
          <w:lang w:val="de-CH" w:eastAsia="de-DE"/>
        </w:rPr>
        <w:t>, Reckenholzstrasse 191, 8046 Zürich, Switzerland,</w:t>
      </w:r>
      <w:r w:rsidRPr="00903549">
        <w:rPr>
          <w:lang w:val="de-CH"/>
        </w:rPr>
        <w:t xml:space="preserve"> </w:t>
      </w:r>
      <w:hyperlink r:id="rId5" w:history="1">
        <w:r w:rsidRPr="00903549">
          <w:rPr>
            <w:rFonts w:ascii="Arial" w:eastAsia="Times New Roman" w:hAnsi="Arial" w:cs="Arial"/>
            <w:noProof/>
            <w:sz w:val="18"/>
            <w:lang w:val="de-CH" w:eastAsia="de-DE"/>
          </w:rPr>
          <w:t>isabel.hilber@agroscope.admin.ch</w:t>
        </w:r>
      </w:hyperlink>
      <w:r w:rsidRPr="00903549">
        <w:rPr>
          <w:rFonts w:ascii="Arial" w:eastAsia="Times New Roman" w:hAnsi="Arial" w:cs="Arial"/>
          <w:noProof/>
          <w:sz w:val="18"/>
          <w:lang w:val="de-CH" w:eastAsia="de-DE"/>
        </w:rPr>
        <w:t xml:space="preserve">, </w:t>
      </w:r>
      <w:hyperlink r:id="rId6" w:history="1">
        <w:r w:rsidRPr="00903549">
          <w:rPr>
            <w:rFonts w:ascii="Arial" w:eastAsia="Times New Roman" w:hAnsi="Arial" w:cs="Arial"/>
            <w:noProof/>
            <w:sz w:val="18"/>
            <w:lang w:val="de-CH" w:eastAsia="de-DE"/>
          </w:rPr>
          <w:t>thomas.bucheli@agroscope.admin.ch</w:t>
        </w:r>
      </w:hyperlink>
    </w:p>
    <w:p w:rsidR="00D66A14" w:rsidRPr="00903549" w:rsidRDefault="00D66A14" w:rsidP="005F1C8C">
      <w:pPr>
        <w:spacing w:after="120" w:line="240" w:lineRule="auto"/>
        <w:ind w:right="-1"/>
        <w:outlineLvl w:val="0"/>
        <w:rPr>
          <w:rFonts w:ascii="Arial" w:eastAsia="Times New Roman" w:hAnsi="Arial" w:cs="Arial"/>
          <w:noProof/>
          <w:sz w:val="18"/>
          <w:szCs w:val="20"/>
          <w:lang w:val="en-GB" w:eastAsia="de-DE"/>
        </w:rPr>
      </w:pPr>
      <w:r w:rsidRPr="00903549">
        <w:rPr>
          <w:rFonts w:ascii="Arial" w:eastAsia="Times New Roman" w:hAnsi="Arial" w:cs="Arial"/>
          <w:noProof/>
          <w:sz w:val="18"/>
          <w:szCs w:val="20"/>
          <w:vertAlign w:val="superscript"/>
          <w:lang w:val="en-GB" w:eastAsia="de-DE"/>
        </w:rPr>
        <w:t>3</w:t>
      </w:r>
      <w:r w:rsidRPr="00903549">
        <w:rPr>
          <w:rFonts w:ascii="Arial" w:eastAsia="Times New Roman" w:hAnsi="Arial" w:cs="Arial"/>
          <w:noProof/>
          <w:sz w:val="18"/>
          <w:szCs w:val="20"/>
          <w:lang w:val="en-GB" w:eastAsia="de-DE"/>
        </w:rPr>
        <w:t xml:space="preserve">Department of Chromatographic Methods, Faculty of Chemistry, Maria Curie-Sklodowska University, </w:t>
      </w:r>
      <w:r w:rsidR="00D068FF">
        <w:rPr>
          <w:rFonts w:ascii="Arial" w:eastAsia="Times New Roman" w:hAnsi="Arial" w:cs="Arial"/>
          <w:noProof/>
          <w:sz w:val="18"/>
          <w:szCs w:val="20"/>
          <w:lang w:val="en-GB" w:eastAsia="de-DE"/>
        </w:rPr>
        <w:br/>
        <w:t xml:space="preserve">Maria </w:t>
      </w:r>
      <w:r w:rsidRPr="00903549">
        <w:rPr>
          <w:rFonts w:ascii="Arial" w:eastAsia="Times New Roman" w:hAnsi="Arial" w:cs="Arial"/>
          <w:noProof/>
          <w:sz w:val="18"/>
          <w:szCs w:val="20"/>
          <w:lang w:val="en-GB" w:eastAsia="de-DE"/>
        </w:rPr>
        <w:t xml:space="preserve">Curie-Sklodowska Sq. 3, 20-031 Lublin, Poland, </w:t>
      </w:r>
      <w:hyperlink r:id="rId7" w:history="1">
        <w:r w:rsidRPr="00903549">
          <w:rPr>
            <w:rFonts w:ascii="Arial" w:eastAsia="Times New Roman" w:hAnsi="Arial" w:cs="Arial"/>
            <w:noProof/>
            <w:sz w:val="18"/>
            <w:lang w:val="en-GB" w:eastAsia="de-DE"/>
          </w:rPr>
          <w:t>barbara.charmas@poczta.umcs.lublin.pl</w:t>
        </w:r>
      </w:hyperlink>
      <w:r w:rsidR="005F1C8C">
        <w:rPr>
          <w:rFonts w:ascii="Arial" w:eastAsia="Times New Roman" w:hAnsi="Arial" w:cs="Arial"/>
          <w:noProof/>
          <w:sz w:val="18"/>
          <w:lang w:val="en-GB" w:eastAsia="de-DE"/>
        </w:rPr>
        <w:t xml:space="preserve">, </w:t>
      </w:r>
      <w:hyperlink r:id="rId8" w:history="1">
        <w:r w:rsidRPr="00903549">
          <w:rPr>
            <w:rFonts w:ascii="Arial" w:eastAsia="Times New Roman" w:hAnsi="Arial" w:cs="Arial"/>
            <w:noProof/>
            <w:sz w:val="18"/>
            <w:lang w:val="en-GB" w:eastAsia="de-DE"/>
          </w:rPr>
          <w:t>jskubisz@poczta.umcs.lublin.pl</w:t>
        </w:r>
      </w:hyperlink>
    </w:p>
    <w:p w:rsidR="00A97D0A" w:rsidRPr="00112C01" w:rsidRDefault="00A97D0A" w:rsidP="00D66A14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D66A14" w:rsidRDefault="00286199" w:rsidP="005F1C8C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Total </w:t>
      </w: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concentrations of organic pollutants such as </w:t>
      </w:r>
      <w:r w:rsidR="0004049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p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olycyclic aromatic hydrocarbons (PAHs)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,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e.g. 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emitted during hard coal production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,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in</w:t>
      </w:r>
      <w:r w:rsidR="004E55F0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soils 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are often used for risk assessment and in legislation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. However, 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they may overestimate the actual exposure to organisms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. </w:t>
      </w:r>
      <w:r w:rsidR="007F3407" w:rsidRPr="007F340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Bioaccessibility describes the mass of contaminants that can be desorbed over time</w:t>
      </w:r>
      <w:r w:rsidR="0011235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(C</w:t>
      </w:r>
      <w:r w:rsidR="00112357" w:rsidRPr="00112357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bioacc</w:t>
      </w:r>
      <w:r w:rsidR="0011235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)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, whereas bioavailability characterizes </w:t>
      </w:r>
      <w:r w:rsidR="003104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the 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aqueous </w:t>
      </w:r>
      <w:r w:rsidR="00B2509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or freely dissolved 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concentration</w:t>
      </w:r>
      <w:r w:rsidR="00B2509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(C</w:t>
      </w:r>
      <w:r w:rsidR="00B25092" w:rsidRPr="00B25092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free</w:t>
      </w:r>
      <w:r w:rsidR="00B2509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)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3104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for instance in the pore water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. </w:t>
      </w:r>
      <w:r w:rsidR="007F340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The exposure to organisms, thus the</w:t>
      </w:r>
      <w:r w:rsidR="007F3407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bioavailab</w:t>
      </w:r>
      <w:r w:rsidR="007F340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ility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and </w:t>
      </w:r>
      <w:r w:rsidR="004E55F0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bio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accessib</w:t>
      </w:r>
      <w:r w:rsidR="007F340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ility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of PAHs</w:t>
      </w:r>
      <w:r w:rsidR="007F340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can be reduced by adding</w:t>
      </w:r>
      <w:r w:rsidR="004E55F0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biochar </w:t>
      </w:r>
      <w:r w:rsidR="007F340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into the soil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. To increase the </w:t>
      </w:r>
      <w:r w:rsidR="0011235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binding or the 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adsorption capacity of the PAHs to the biochar </w:t>
      </w:r>
      <w:r w:rsidR="00CF3D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the specific surface area</w:t>
      </w:r>
      <w:r w:rsidR="00CF3DEF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CF3D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(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SSA</w:t>
      </w:r>
      <w:r w:rsidR="00CF3D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)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CF3D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can</w:t>
      </w:r>
      <w:r w:rsidR="00CF3DEF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be enlarged by activation. The aim of this study was therefore to evaluate the binding effectiveness of PAHs to such activated biochars</w:t>
      </w:r>
      <w:r w:rsidR="0011235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by observing a decrease in the C</w:t>
      </w:r>
      <w:r w:rsidR="00112357" w:rsidRPr="00112357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bioacc</w:t>
      </w:r>
      <w:r w:rsidR="0011235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and C</w:t>
      </w:r>
      <w:r w:rsidR="00112357" w:rsidRPr="00112357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free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</w:t>
      </w:r>
    </w:p>
    <w:p w:rsidR="0028767D" w:rsidRPr="00CA1134" w:rsidRDefault="0028767D" w:rsidP="005F1C8C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20"/>
          <w:szCs w:val="20"/>
          <w:lang w:val="en-US" w:eastAsia="de-DE"/>
        </w:rPr>
      </w:pPr>
    </w:p>
    <w:p w:rsidR="00890180" w:rsidRDefault="00CF3DEF" w:rsidP="005F1C8C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 commercial manufacturer provided b</w:t>
      </w:r>
      <w:r w:rsidR="0002661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iochar</w:t>
      </w:r>
      <w:r w:rsidR="002F43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from willow which was slowly pyrolysed</w:t>
      </w:r>
      <w:r w:rsidRPr="00D66A1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at 600°C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Pr="002F43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and at low oxygen content (1-2%)</w:t>
      </w:r>
      <w:r w:rsidR="002F437D" w:rsidRPr="002F43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</w:t>
      </w:r>
      <w:r w:rsidR="007D7CBE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800407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To improve the biochar porous structure and binding capacity</w:t>
      </w:r>
      <w:r w:rsidR="00800407" w:rsidRPr="009A6416" w:rsidDel="00F716DA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800407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it was subjected to a range of activations</w:t>
      </w:r>
      <w:r w:rsidR="0080040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800407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by microwaves (in a microwave reactor under an atmosphere of superheated steam)</w:t>
      </w:r>
      <w:r w:rsidR="0080040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and</w:t>
      </w:r>
      <w:r w:rsidR="00800407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in the quartz fluidized bed reactor at 800°C using the carbon</w:t>
      </w:r>
      <w:r w:rsidR="0080040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dioxide and superheated steam. </w:t>
      </w:r>
      <w:r w:rsidR="001C0F7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Original</w:t>
      </w:r>
      <w:r w:rsidR="001C0F75" w:rsidRPr="00D66A1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D66A14" w:rsidRPr="00D66A1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and activated biochars </w:t>
      </w:r>
      <w:r w:rsidR="00CA11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were</w:t>
      </w:r>
      <w:r w:rsidR="00D66A14" w:rsidRPr="00D66A1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CA11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added at 5</w:t>
      </w:r>
      <w:r w:rsid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CA11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% w/w into</w:t>
      </w:r>
      <w:r w:rsidR="00D66A14" w:rsidRPr="00D66A1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three di</w:t>
      </w:r>
      <w:r w:rsidR="004B531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fferent soils</w:t>
      </w:r>
      <w:r w:rsidR="00CA11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, each</w:t>
      </w:r>
      <w:r w:rsidR="00FA755A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:</w:t>
      </w:r>
      <w:r w:rsidR="004B531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FA755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1) from</w:t>
      </w:r>
      <w:r w:rsidR="00CA11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</w:t>
      </w:r>
      <w:r w:rsidR="00FA755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landfill, where industrial wastes from</w:t>
      </w:r>
      <w:r w:rsidR="00CA11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</w:t>
      </w:r>
      <w:r w:rsidR="00FA755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coking plant </w:t>
      </w:r>
      <w:r w:rsidR="00CA11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were</w:t>
      </w:r>
      <w:r w:rsidR="00FA755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deposited (KB), 2) from the area of</w:t>
      </w:r>
      <w:r w:rsidR="00CA11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</w:t>
      </w:r>
      <w:r w:rsidR="00FA755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coking battery (KOK), and 3) from the area of </w:t>
      </w:r>
      <w:r w:rsidR="00CA11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a </w:t>
      </w:r>
      <w:r w:rsidR="00FA755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bitumen processing plant (POPI</w:t>
      </w:r>
      <w:r w:rsidR="00CA11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)</w:t>
      </w:r>
      <w:r w:rsidR="008F5EC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</w:t>
      </w:r>
      <w:r w:rsidR="00B2509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22CA9" w:rsidRPr="0076181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The</w:t>
      </w:r>
      <w:r w:rsidR="00B25092" w:rsidRP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total </w:t>
      </w:r>
      <w:r w:rsidR="00222CA9" w:rsidRPr="007D7CBE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PAHs </w:t>
      </w:r>
      <w:r w:rsidR="00B25092" w:rsidRPr="0076181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concentration</w:t>
      </w:r>
      <w:r w:rsidR="00222CA9" w:rsidRPr="007D7CBE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in control soils was determined by Soxhlet extraction</w:t>
      </w:r>
      <w:r w:rsidR="007D7CBE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with </w:t>
      </w:r>
      <w:r w:rsidR="00222CA9" w:rsidRPr="007D7CBE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hexane</w:t>
      </w:r>
      <w:r w:rsidR="007D7CBE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for 36h</w:t>
      </w:r>
      <w:r w:rsidR="00222CA9" w:rsidRPr="007D7CBE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</w:t>
      </w:r>
      <w:r w:rsidR="007D7CBE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B2509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The </w:t>
      </w:r>
      <w:r w:rsidR="00216B04" w:rsidRPr="00D66A1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C</w:t>
      </w:r>
      <w:r w:rsidR="00216B04" w:rsidRPr="00DE43BD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free</w:t>
      </w:r>
      <w:r w:rsidR="00D66A14" w:rsidRPr="00D66A1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B2509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of the PAHs </w:t>
      </w:r>
      <w:r w:rsidR="00AA2F40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was</w:t>
      </w:r>
      <w:r w:rsidR="00AA2F40" w:rsidRPr="00D66A1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D66A14" w:rsidRPr="00D66A1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deter</w:t>
      </w:r>
      <w:r w:rsidR="00B736A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mined</w:t>
      </w:r>
      <w:r w:rsidR="00B2509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by</w:t>
      </w:r>
      <w:r w:rsidR="00B736A7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using polyoxymethylene</w:t>
      </w:r>
      <w:r w:rsidR="004B5B90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B2509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strips and the </w:t>
      </w:r>
      <w:r w:rsidR="001C0F7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C</w:t>
      </w:r>
      <w:r w:rsidR="001C0F75" w:rsidRPr="007D7CBE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bioacc</w:t>
      </w:r>
      <w:r w:rsidR="001C0F7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B2509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by</w:t>
      </w:r>
      <w:r w:rsidR="00CA113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using </w:t>
      </w:r>
      <w:r w:rsid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silicone rods</w:t>
      </w:r>
      <w:r w:rsidR="00D66A14" w:rsidRPr="00D66A14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</w:t>
      </w:r>
      <w:r w:rsidR="00AD47C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</w:p>
    <w:p w:rsidR="00D06BB8" w:rsidRDefault="00D06BB8" w:rsidP="005F1C8C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20"/>
          <w:szCs w:val="20"/>
          <w:lang w:val="en-US" w:eastAsia="de-DE"/>
        </w:rPr>
      </w:pPr>
    </w:p>
    <w:p w:rsidR="00890180" w:rsidRPr="004B5B90" w:rsidRDefault="007D7CBE" w:rsidP="005F1C8C">
      <w:pPr>
        <w:spacing w:line="240" w:lineRule="auto"/>
        <w:ind w:right="-1"/>
        <w:jc w:val="both"/>
        <w:rPr>
          <w:rFonts w:ascii="Arial" w:hAnsi="Arial" w:cs="Arial"/>
          <w:sz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The SSA of biochar subjected to the activation</w:t>
      </w:r>
      <w:r w:rsidR="00D865E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s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improved significantly. 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The SSA in the </w:t>
      </w:r>
      <w:r w:rsidR="00D865E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original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biochar was </w:t>
      </w:r>
      <w:r w:rsidR="008B758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br/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11 m</w:t>
      </w:r>
      <w:r w:rsidR="00222CA9" w:rsidRPr="00330992">
        <w:rPr>
          <w:rFonts w:ascii="Arial" w:eastAsia="Times New Roman" w:hAnsi="Arial" w:cs="Arial"/>
          <w:noProof/>
          <w:sz w:val="20"/>
          <w:szCs w:val="20"/>
          <w:vertAlign w:val="superscript"/>
          <w:lang w:val="en-US" w:eastAsia="de-DE"/>
        </w:rPr>
        <w:t>2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and in the activated biochars 443 m</w:t>
      </w:r>
      <w:r w:rsidR="00222CA9">
        <w:rPr>
          <w:rFonts w:ascii="Arial" w:eastAsia="Times New Roman" w:hAnsi="Arial" w:cs="Arial"/>
          <w:noProof/>
          <w:sz w:val="20"/>
          <w:szCs w:val="20"/>
          <w:vertAlign w:val="superscript"/>
          <w:lang w:val="en-US" w:eastAsia="de-DE"/>
        </w:rPr>
        <w:t>2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(microwave activation), 512 m</w:t>
      </w:r>
      <w:r w:rsidR="00222CA9" w:rsidRPr="00330992">
        <w:rPr>
          <w:rFonts w:ascii="Arial" w:eastAsia="Times New Roman" w:hAnsi="Arial" w:cs="Arial"/>
          <w:noProof/>
          <w:sz w:val="20"/>
          <w:szCs w:val="20"/>
          <w:vertAlign w:val="superscript"/>
          <w:lang w:val="en-US" w:eastAsia="de-DE"/>
        </w:rPr>
        <w:t>2</w:t>
      </w:r>
      <w:r w:rsidR="00222CA9">
        <w:rPr>
          <w:rFonts w:ascii="Arial" w:eastAsia="Times New Roman" w:hAnsi="Arial" w:cs="Arial"/>
          <w:noProof/>
          <w:sz w:val="20"/>
          <w:szCs w:val="20"/>
          <w:vertAlign w:val="superscript"/>
          <w:lang w:val="en-US" w:eastAsia="de-DE"/>
        </w:rPr>
        <w:t xml:space="preserve"> 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(CO</w:t>
      </w:r>
      <w:r w:rsidR="00222CA9" w:rsidRPr="00B736A7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2</w:t>
      </w:r>
      <w:r w:rsidR="00222CA9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 xml:space="preserve"> 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activation) and 841 m</w:t>
      </w:r>
      <w:r w:rsidR="00222CA9" w:rsidRPr="00330992">
        <w:rPr>
          <w:rFonts w:ascii="Arial" w:eastAsia="Times New Roman" w:hAnsi="Arial" w:cs="Arial"/>
          <w:noProof/>
          <w:sz w:val="20"/>
          <w:szCs w:val="20"/>
          <w:vertAlign w:val="superscript"/>
          <w:lang w:val="en-US" w:eastAsia="de-DE"/>
        </w:rPr>
        <w:t>2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(</w:t>
      </w:r>
      <w:r w:rsidR="00222CA9" w:rsidRPr="002F43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N</w:t>
      </w:r>
      <w:r w:rsidR="00222CA9" w:rsidRPr="00CA1134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2</w:t>
      </w:r>
      <w:r w:rsidR="00222CA9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 xml:space="preserve"> 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activation).</w:t>
      </w:r>
      <w:r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22CA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The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soils had </w:t>
      </w:r>
      <w:r w:rsidR="00222CA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total 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concentrations</w:t>
      </w:r>
      <w:r w:rsidR="00222CA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(sum (Ʃ) of the </w:t>
      </w:r>
      <w:r w:rsidR="00222CA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16 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US EPA </w:t>
      </w:r>
      <w:r w:rsidR="00222CA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PAHs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) of 40 mg/kg</w:t>
      </w:r>
      <w:r w:rsidR="00222CA9" w:rsidRPr="00AD47C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(KOK), </w:t>
      </w:r>
      <w:r w:rsidR="00222CA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17 mg/kg</w:t>
      </w:r>
      <w:r w:rsidR="00222CA9" w:rsidRPr="00AD47C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(</w:t>
      </w:r>
      <w:r w:rsidR="00222CA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KB) and 9 mg/kg</w:t>
      </w:r>
      <w:r w:rsidR="00222CA9" w:rsidRPr="00AD47C2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(</w:t>
      </w:r>
      <w:r w:rsidR="00222CA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POPI).</w:t>
      </w:r>
      <w:r w:rsidR="00222CA9" w:rsidRPr="007D7CBE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The C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free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was reduced </w:t>
      </w:r>
      <w:r w:rsidR="00AA2F40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in comparison to the control soils 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by 74%, 48%, and 0% in the POPI, KOK, and KB soil, respectivley, after the amendment </w:t>
      </w:r>
      <w:r w:rsidR="001C0F7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of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1C0F7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original 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biochar</w:t>
      </w:r>
      <w:r w:rsidR="001C0F7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C16D7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The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amendment of </w:t>
      </w:r>
      <w:r w:rsidR="00C16D7B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activat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ed</w:t>
      </w:r>
      <w:r w:rsidR="001C0F7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biochar 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reduced the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C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free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in the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POPI 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and KOK soil 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up to 86%, 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each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and </w:t>
      </w:r>
      <w:r w:rsidR="001C0F7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the one of the 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KB up to 70%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in comparison to the unamended soils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The original biochar could reduce the </w:t>
      </w:r>
      <w:r w:rsidR="001C0F7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C</w:t>
      </w:r>
      <w:r w:rsidR="001C0F75" w:rsidRPr="001C0F75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bioacc</w:t>
      </w:r>
      <w:r w:rsidR="00222CA9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 xml:space="preserve"> 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only in the 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POPI soil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by 49%</w:t>
      </w:r>
      <w:r w:rsidR="001C0F7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in comparison to the control</w:t>
      </w:r>
      <w:r w:rsidR="00D865E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soil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. </w:t>
      </w:r>
      <w:r w:rsidR="0037580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In contrast, t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he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activated biochars 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could reduce </w:t>
      </w:r>
      <w:r w:rsidR="001C0F75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the C</w:t>
      </w:r>
      <w:r w:rsidR="001C0F75" w:rsidRPr="001C0F75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bioacc</w:t>
      </w:r>
      <w:r w:rsidR="00342AE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by almost 100%</w:t>
      </w:r>
      <w:r w:rsidR="0025416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in all soil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s in comparision to the unamended soil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 The most effective biochar was that modified under a N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vertAlign w:val="subscript"/>
          <w:lang w:val="en-US" w:eastAsia="de-DE"/>
        </w:rPr>
        <w:t>2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atmosphere</w:t>
      </w:r>
      <w:r w:rsidR="0076181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by water vapour</w:t>
      </w:r>
      <w:r w:rsidR="0028767D" w:rsidRPr="0028767D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</w:t>
      </w:r>
      <w:r w:rsidR="00222CA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</w:p>
    <w:sectPr w:rsidR="00890180" w:rsidRPr="004B5B90" w:rsidSect="005F1C8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14"/>
    <w:rsid w:val="00007886"/>
    <w:rsid w:val="00026619"/>
    <w:rsid w:val="00040496"/>
    <w:rsid w:val="00064D91"/>
    <w:rsid w:val="00071E8C"/>
    <w:rsid w:val="00082DBD"/>
    <w:rsid w:val="000A0799"/>
    <w:rsid w:val="000B1A3A"/>
    <w:rsid w:val="00112357"/>
    <w:rsid w:val="00112C01"/>
    <w:rsid w:val="00141E8A"/>
    <w:rsid w:val="00196EEB"/>
    <w:rsid w:val="001C0F75"/>
    <w:rsid w:val="00213706"/>
    <w:rsid w:val="00216B04"/>
    <w:rsid w:val="00222CA9"/>
    <w:rsid w:val="0025416B"/>
    <w:rsid w:val="00286199"/>
    <w:rsid w:val="0028767D"/>
    <w:rsid w:val="002F437D"/>
    <w:rsid w:val="00310434"/>
    <w:rsid w:val="00342AEF"/>
    <w:rsid w:val="00375809"/>
    <w:rsid w:val="00405445"/>
    <w:rsid w:val="004138C7"/>
    <w:rsid w:val="00427AD3"/>
    <w:rsid w:val="004B5314"/>
    <w:rsid w:val="004B5B90"/>
    <w:rsid w:val="004E55F0"/>
    <w:rsid w:val="005A64B2"/>
    <w:rsid w:val="005C4489"/>
    <w:rsid w:val="005C7505"/>
    <w:rsid w:val="005F1C8C"/>
    <w:rsid w:val="0076181B"/>
    <w:rsid w:val="00773C24"/>
    <w:rsid w:val="007A6460"/>
    <w:rsid w:val="007D7CBE"/>
    <w:rsid w:val="007F3407"/>
    <w:rsid w:val="00800407"/>
    <w:rsid w:val="00813AE7"/>
    <w:rsid w:val="00890180"/>
    <w:rsid w:val="008A4DEB"/>
    <w:rsid w:val="008B758B"/>
    <w:rsid w:val="008F5ECD"/>
    <w:rsid w:val="00903549"/>
    <w:rsid w:val="009560B7"/>
    <w:rsid w:val="009A2C6B"/>
    <w:rsid w:val="009D3BFD"/>
    <w:rsid w:val="00A97D0A"/>
    <w:rsid w:val="00AA2F40"/>
    <w:rsid w:val="00AD47C2"/>
    <w:rsid w:val="00B25092"/>
    <w:rsid w:val="00B736A7"/>
    <w:rsid w:val="00BB5131"/>
    <w:rsid w:val="00BD657B"/>
    <w:rsid w:val="00C16D7B"/>
    <w:rsid w:val="00CA1134"/>
    <w:rsid w:val="00CF3DEF"/>
    <w:rsid w:val="00D068FF"/>
    <w:rsid w:val="00D06BB8"/>
    <w:rsid w:val="00D1605D"/>
    <w:rsid w:val="00D66A14"/>
    <w:rsid w:val="00D865E5"/>
    <w:rsid w:val="00D95CC5"/>
    <w:rsid w:val="00DA3212"/>
    <w:rsid w:val="00DE43BD"/>
    <w:rsid w:val="00E95F15"/>
    <w:rsid w:val="00F24E91"/>
    <w:rsid w:val="00FA755A"/>
    <w:rsid w:val="00F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9DB5E4-5A0D-4A98-82DF-4A715430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A1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A97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filiation">
    <w:name w:val="Affiliation"/>
    <w:basedOn w:val="Normalny"/>
    <w:qFormat/>
    <w:rsid w:val="00D66A14"/>
    <w:pPr>
      <w:pBdr>
        <w:bottom w:val="single" w:sz="8" w:space="10" w:color="auto"/>
      </w:pBdr>
      <w:spacing w:after="0" w:line="240" w:lineRule="auto"/>
      <w:jc w:val="center"/>
    </w:pPr>
    <w:rPr>
      <w:rFonts w:ascii="Arial" w:eastAsia="Times New Roman" w:hAnsi="Arial" w:cs="Arial"/>
      <w:noProof/>
      <w:sz w:val="20"/>
      <w:szCs w:val="24"/>
      <w:lang w:val="en-GB"/>
    </w:rPr>
  </w:style>
  <w:style w:type="character" w:styleId="Hipercze">
    <w:name w:val="Hyperlink"/>
    <w:uiPriority w:val="99"/>
    <w:unhideWhenUsed/>
    <w:rsid w:val="00D66A1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7D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19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9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kubisz@poczta.umcs.lubl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.charmas@poczta.umcs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bucheli@agroscope.admin.ch" TargetMode="External"/><Relationship Id="rId5" Type="http://schemas.openxmlformats.org/officeDocument/2006/relationships/hyperlink" Target="mailto:isabel.hilber@agroscope.admin.ch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chal.koltowski@poczta.umcs.lublin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Kołtowski</dc:creator>
  <cp:lastModifiedBy>Michał Kołtowski</cp:lastModifiedBy>
  <cp:revision>8</cp:revision>
  <dcterms:created xsi:type="dcterms:W3CDTF">2015-04-29T15:07:00Z</dcterms:created>
  <dcterms:modified xsi:type="dcterms:W3CDTF">2015-05-19T10:08:00Z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id="s6euEJoi"/&gt;&lt;style id="http://www.zotero.org/styles/ecological-engineering" hasBibliography="1" bibliographyStyleHasBeenSet="0"/&gt;&lt;prefs&gt;&lt;pref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value="true"/&gt;&lt;pref name="noteType" value="0"/&gt;&lt;/prefs&gt;&lt;/data&gt;</vt:lpwstr>
  </property>
</Properties>
</file>