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4F92" w14:textId="3A0EB8AD" w:rsidR="009B131E" w:rsidRPr="00EA531C" w:rsidRDefault="00EA531C">
      <w:pPr>
        <w:spacing w:after="120"/>
        <w:rPr>
          <w:rFonts w:ascii="Helvetica" w:eastAsia="Helvetica" w:hAnsi="Helvetica" w:cs="Helvetica"/>
          <w:b/>
          <w:bCs/>
          <w:sz w:val="28"/>
          <w:szCs w:val="28"/>
          <w:lang w:val="en-GB"/>
        </w:rPr>
      </w:pPr>
      <w:r w:rsidRPr="00EA531C">
        <w:rPr>
          <w:rFonts w:ascii="Helvetica"/>
          <w:b/>
          <w:bCs/>
          <w:sz w:val="28"/>
          <w:szCs w:val="28"/>
          <w:lang w:val="en-GB"/>
        </w:rPr>
        <w:t xml:space="preserve">Bridging </w:t>
      </w:r>
      <w:r>
        <w:rPr>
          <w:rFonts w:ascii="Helvetica"/>
          <w:b/>
          <w:bCs/>
          <w:sz w:val="28"/>
          <w:szCs w:val="28"/>
          <w:lang w:val="en-GB"/>
        </w:rPr>
        <w:t xml:space="preserve">across </w:t>
      </w:r>
      <w:r w:rsidRPr="00EA531C">
        <w:rPr>
          <w:rFonts w:ascii="Helvetica"/>
          <w:b/>
          <w:bCs/>
          <w:sz w:val="28"/>
          <w:szCs w:val="28"/>
          <w:lang w:val="en-GB"/>
        </w:rPr>
        <w:t xml:space="preserve">OECD 308 and 309 </w:t>
      </w:r>
      <w:r>
        <w:rPr>
          <w:rFonts w:ascii="Helvetica"/>
          <w:b/>
          <w:bCs/>
          <w:sz w:val="28"/>
          <w:szCs w:val="28"/>
          <w:lang w:val="en-GB"/>
        </w:rPr>
        <w:t>data</w:t>
      </w:r>
      <w:r w:rsidRPr="00EA531C">
        <w:rPr>
          <w:rFonts w:ascii="Helvetica"/>
          <w:b/>
          <w:bCs/>
          <w:sz w:val="28"/>
          <w:szCs w:val="28"/>
          <w:lang w:val="en-GB"/>
        </w:rPr>
        <w:t xml:space="preserve"> in search of a robust transformation indicator</w:t>
      </w:r>
    </w:p>
    <w:p w14:paraId="13DC5EAC" w14:textId="77777777" w:rsidR="009B131E" w:rsidRDefault="009B131E">
      <w:pPr>
        <w:spacing w:after="120"/>
        <w:rPr>
          <w:rFonts w:ascii="Helvetica" w:eastAsia="Helvetica" w:hAnsi="Helvetica" w:cs="Helvetica"/>
          <w:b/>
          <w:bCs/>
          <w:sz w:val="32"/>
          <w:szCs w:val="32"/>
        </w:rPr>
      </w:pPr>
    </w:p>
    <w:p w14:paraId="08289CAB" w14:textId="7C0F151A" w:rsidR="009B131E" w:rsidRPr="00DD40E9" w:rsidRDefault="00EA531C">
      <w:pPr>
        <w:spacing w:after="120"/>
        <w:rPr>
          <w:rFonts w:ascii="Helvetica" w:eastAsia="Helvetica" w:hAnsi="Helvetica" w:cs="Helvetica"/>
          <w:smallCaps/>
        </w:rPr>
      </w:pPr>
      <w:r>
        <w:rPr>
          <w:rFonts w:ascii="Helvetica"/>
          <w:smallCaps/>
          <w:u w:val="single"/>
        </w:rPr>
        <w:t>Mark Honti</w:t>
      </w:r>
      <w:r>
        <w:rPr>
          <w:rFonts w:ascii="Helvetica"/>
          <w:smallCaps/>
          <w:vertAlign w:val="superscript"/>
        </w:rPr>
        <w:t>1</w:t>
      </w:r>
      <w:r>
        <w:rPr>
          <w:rFonts w:ascii="Helvetica"/>
          <w:smallCaps/>
        </w:rPr>
        <w:t>, Kathrin Fenner</w:t>
      </w:r>
      <w:r>
        <w:rPr>
          <w:rFonts w:ascii="Helvetica"/>
          <w:smallCaps/>
          <w:vertAlign w:val="superscript"/>
        </w:rPr>
        <w:t>2</w:t>
      </w:r>
      <w:r w:rsidR="00C81E6F" w:rsidRPr="00DD40E9">
        <w:rPr>
          <w:rFonts w:ascii="Helvetica"/>
          <w:smallCaps/>
        </w:rPr>
        <w:t>, Thomas Junker</w:t>
      </w:r>
      <w:r w:rsidR="00C81E6F" w:rsidRPr="00C81E6F">
        <w:rPr>
          <w:rFonts w:ascii="Helvetica"/>
          <w:smallCaps/>
          <w:vertAlign w:val="superscript"/>
        </w:rPr>
        <w:t>3</w:t>
      </w:r>
      <w:r w:rsidR="00C81E6F" w:rsidRPr="00DD40E9">
        <w:rPr>
          <w:rFonts w:ascii="Helvetica"/>
          <w:smallCaps/>
        </w:rPr>
        <w:t>, Dieter Hennecke</w:t>
      </w:r>
      <w:r w:rsidR="00C81E6F" w:rsidRPr="00C81E6F">
        <w:rPr>
          <w:rFonts w:ascii="Helvetica"/>
          <w:smallCaps/>
          <w:vertAlign w:val="superscript"/>
        </w:rPr>
        <w:t>4</w:t>
      </w:r>
      <w:r w:rsidR="00C81E6F" w:rsidRPr="00DD40E9">
        <w:rPr>
          <w:rFonts w:ascii="Helvetica"/>
          <w:smallCaps/>
        </w:rPr>
        <w:t xml:space="preserve">, Stefan </w:t>
      </w:r>
      <w:r w:rsidR="00C81E6F" w:rsidRPr="00DD40E9">
        <w:rPr>
          <w:rFonts w:ascii="Helvetica" w:eastAsia="Helvetica" w:hAnsi="Helvetica" w:cs="Helvetica"/>
          <w:smallCaps/>
        </w:rPr>
        <w:t>Hahn</w:t>
      </w:r>
      <w:r w:rsidR="00C81E6F" w:rsidRPr="00C81E6F">
        <w:rPr>
          <w:rFonts w:ascii="Helvetica" w:eastAsia="Helvetica" w:hAnsi="Helvetica" w:cs="Helvetica"/>
          <w:smallCaps/>
          <w:vertAlign w:val="superscript"/>
        </w:rPr>
        <w:t>5</w:t>
      </w:r>
    </w:p>
    <w:p w14:paraId="190EF7BB" w14:textId="77777777" w:rsidR="009B131E" w:rsidRDefault="00EA531C">
      <w:pPr>
        <w:rPr>
          <w:rFonts w:ascii="Helvetica" w:eastAsia="Helvetica" w:hAnsi="Helvetica" w:cs="Helvetica"/>
          <w:sz w:val="18"/>
          <w:szCs w:val="18"/>
        </w:rPr>
      </w:pPr>
      <w:r>
        <w:rPr>
          <w:rFonts w:ascii="Helvetica"/>
          <w:sz w:val="18"/>
          <w:szCs w:val="18"/>
          <w:vertAlign w:val="superscript"/>
        </w:rPr>
        <w:t xml:space="preserve">1 </w:t>
      </w:r>
      <w:r>
        <w:rPr>
          <w:rFonts w:ascii="Helvetica"/>
          <w:sz w:val="18"/>
          <w:szCs w:val="18"/>
        </w:rPr>
        <w:t xml:space="preserve">MTA-BME </w:t>
      </w:r>
      <w:proofErr w:type="spellStart"/>
      <w:r>
        <w:rPr>
          <w:rFonts w:ascii="Helvetica"/>
          <w:sz w:val="18"/>
          <w:szCs w:val="18"/>
        </w:rPr>
        <w:t>Water</w:t>
      </w:r>
      <w:proofErr w:type="spellEnd"/>
      <w:r>
        <w:rPr>
          <w:rFonts w:ascii="Helvetica"/>
          <w:sz w:val="18"/>
          <w:szCs w:val="18"/>
        </w:rPr>
        <w:t xml:space="preserve"> Research Group, </w:t>
      </w:r>
      <w:proofErr w:type="spellStart"/>
      <w:r>
        <w:rPr>
          <w:rFonts w:ascii="Helvetica"/>
          <w:sz w:val="18"/>
          <w:szCs w:val="18"/>
        </w:rPr>
        <w:t>Hungarian</w:t>
      </w:r>
      <w:proofErr w:type="spellEnd"/>
      <w:r>
        <w:rPr>
          <w:rFonts w:ascii="Helvetica"/>
          <w:sz w:val="18"/>
          <w:szCs w:val="18"/>
        </w:rPr>
        <w:t xml:space="preserve"> </w:t>
      </w:r>
      <w:proofErr w:type="spellStart"/>
      <w:r>
        <w:rPr>
          <w:rFonts w:ascii="Helvetica"/>
          <w:sz w:val="18"/>
          <w:szCs w:val="18"/>
        </w:rPr>
        <w:t>Academy</w:t>
      </w:r>
      <w:proofErr w:type="spellEnd"/>
      <w:r>
        <w:rPr>
          <w:rFonts w:ascii="Helvetica"/>
          <w:sz w:val="18"/>
          <w:szCs w:val="18"/>
        </w:rPr>
        <w:t xml:space="preserve"> </w:t>
      </w:r>
      <w:proofErr w:type="spellStart"/>
      <w:r>
        <w:rPr>
          <w:rFonts w:ascii="Helvetica"/>
          <w:sz w:val="18"/>
          <w:szCs w:val="18"/>
        </w:rPr>
        <w:t>of</w:t>
      </w:r>
      <w:proofErr w:type="spellEnd"/>
      <w:r>
        <w:rPr>
          <w:rFonts w:ascii="Helvetica"/>
          <w:sz w:val="18"/>
          <w:szCs w:val="18"/>
        </w:rPr>
        <w:t xml:space="preserve"> </w:t>
      </w:r>
      <w:proofErr w:type="spellStart"/>
      <w:r>
        <w:rPr>
          <w:rFonts w:ascii="Helvetica"/>
          <w:sz w:val="18"/>
          <w:szCs w:val="18"/>
        </w:rPr>
        <w:t>Sciences</w:t>
      </w:r>
      <w:proofErr w:type="spellEnd"/>
      <w:r>
        <w:rPr>
          <w:rFonts w:ascii="Helvetica"/>
          <w:sz w:val="18"/>
          <w:szCs w:val="18"/>
        </w:rPr>
        <w:t xml:space="preserve">, </w:t>
      </w:r>
      <w:proofErr w:type="spellStart"/>
      <w:r>
        <w:rPr>
          <w:rFonts w:ascii="Helvetica"/>
          <w:sz w:val="18"/>
          <w:szCs w:val="18"/>
        </w:rPr>
        <w:t>Muegyetem</w:t>
      </w:r>
      <w:proofErr w:type="spellEnd"/>
      <w:r>
        <w:rPr>
          <w:rFonts w:ascii="Helvetica"/>
          <w:sz w:val="18"/>
          <w:szCs w:val="18"/>
        </w:rPr>
        <w:t xml:space="preserve"> </w:t>
      </w:r>
      <w:proofErr w:type="spellStart"/>
      <w:r>
        <w:rPr>
          <w:rFonts w:ascii="Helvetica"/>
          <w:sz w:val="18"/>
          <w:szCs w:val="18"/>
        </w:rPr>
        <w:t>rkp</w:t>
      </w:r>
      <w:proofErr w:type="spellEnd"/>
      <w:r>
        <w:rPr>
          <w:rFonts w:ascii="Helvetica"/>
          <w:sz w:val="18"/>
          <w:szCs w:val="18"/>
        </w:rPr>
        <w:t xml:space="preserve">. 3, 1111 Budapest, </w:t>
      </w:r>
      <w:proofErr w:type="spellStart"/>
      <w:r>
        <w:rPr>
          <w:rFonts w:ascii="Helvetica"/>
          <w:sz w:val="18"/>
          <w:szCs w:val="18"/>
        </w:rPr>
        <w:t>Hungary</w:t>
      </w:r>
      <w:proofErr w:type="spellEnd"/>
      <w:r>
        <w:rPr>
          <w:rFonts w:ascii="Helvetica"/>
          <w:sz w:val="18"/>
          <w:szCs w:val="18"/>
        </w:rPr>
        <w:t xml:space="preserve">  mark.honti@gmail.com</w:t>
      </w:r>
    </w:p>
    <w:p w14:paraId="6E428FD5" w14:textId="3C716895" w:rsidR="009B131E" w:rsidRDefault="00EA531C" w:rsidP="00DD40E9">
      <w:pPr>
        <w:rPr>
          <w:rFonts w:ascii="Helvetica"/>
          <w:sz w:val="18"/>
          <w:szCs w:val="18"/>
        </w:rPr>
      </w:pPr>
      <w:r>
        <w:rPr>
          <w:rFonts w:ascii="Helvetica"/>
          <w:sz w:val="18"/>
          <w:szCs w:val="18"/>
          <w:vertAlign w:val="superscript"/>
        </w:rPr>
        <w:t xml:space="preserve">2 </w:t>
      </w:r>
      <w:proofErr w:type="spellStart"/>
      <w:r>
        <w:rPr>
          <w:rFonts w:ascii="Helvetica"/>
          <w:sz w:val="18"/>
          <w:szCs w:val="18"/>
        </w:rPr>
        <w:t>Dept</w:t>
      </w:r>
      <w:proofErr w:type="spellEnd"/>
      <w:r>
        <w:rPr>
          <w:rFonts w:ascii="Helvetica"/>
          <w:sz w:val="18"/>
          <w:szCs w:val="18"/>
        </w:rPr>
        <w:t xml:space="preserve">. </w:t>
      </w:r>
      <w:proofErr w:type="spellStart"/>
      <w:r>
        <w:rPr>
          <w:rFonts w:ascii="Helvetica"/>
          <w:sz w:val="18"/>
          <w:szCs w:val="18"/>
        </w:rPr>
        <w:t>of</w:t>
      </w:r>
      <w:proofErr w:type="spellEnd"/>
      <w:r>
        <w:rPr>
          <w:rFonts w:ascii="Helvetica"/>
          <w:sz w:val="18"/>
          <w:szCs w:val="18"/>
        </w:rPr>
        <w:t xml:space="preserve"> Environmental Chemistry, EAWAG Swiss Federal Institute </w:t>
      </w:r>
      <w:proofErr w:type="spellStart"/>
      <w:r>
        <w:rPr>
          <w:rFonts w:ascii="Helvetica"/>
          <w:sz w:val="18"/>
          <w:szCs w:val="18"/>
        </w:rPr>
        <w:t>for</w:t>
      </w:r>
      <w:proofErr w:type="spellEnd"/>
      <w:r>
        <w:rPr>
          <w:rFonts w:ascii="Helvetica"/>
          <w:sz w:val="18"/>
          <w:szCs w:val="18"/>
        </w:rPr>
        <w:t xml:space="preserve"> </w:t>
      </w:r>
      <w:proofErr w:type="spellStart"/>
      <w:r>
        <w:rPr>
          <w:rFonts w:ascii="Helvetica"/>
          <w:sz w:val="18"/>
          <w:szCs w:val="18"/>
        </w:rPr>
        <w:t>Aquatic</w:t>
      </w:r>
      <w:proofErr w:type="spellEnd"/>
      <w:r>
        <w:rPr>
          <w:rFonts w:ascii="Helvetica"/>
          <w:sz w:val="18"/>
          <w:szCs w:val="18"/>
        </w:rPr>
        <w:t xml:space="preserve"> Research, </w:t>
      </w:r>
      <w:proofErr w:type="spellStart"/>
      <w:r>
        <w:rPr>
          <w:rFonts w:ascii="Helvetica"/>
          <w:sz w:val="18"/>
          <w:szCs w:val="18"/>
        </w:rPr>
        <w:t>Ueberlandstrasse</w:t>
      </w:r>
      <w:proofErr w:type="spellEnd"/>
      <w:r>
        <w:rPr>
          <w:rFonts w:ascii="Helvetica"/>
          <w:sz w:val="18"/>
          <w:szCs w:val="18"/>
        </w:rPr>
        <w:t xml:space="preserve"> 133, 8600 D</w:t>
      </w:r>
      <w:r>
        <w:rPr>
          <w:rFonts w:hAnsi="Helvetica"/>
          <w:sz w:val="18"/>
          <w:szCs w:val="18"/>
        </w:rPr>
        <w:t>ü</w:t>
      </w:r>
      <w:r>
        <w:rPr>
          <w:rFonts w:ascii="Helvetica"/>
          <w:sz w:val="18"/>
          <w:szCs w:val="18"/>
        </w:rPr>
        <w:t xml:space="preserve">bendorf, </w:t>
      </w:r>
      <w:proofErr w:type="spellStart"/>
      <w:r>
        <w:rPr>
          <w:rFonts w:ascii="Helvetica"/>
          <w:sz w:val="18"/>
          <w:szCs w:val="18"/>
        </w:rPr>
        <w:t>Switzerland</w:t>
      </w:r>
      <w:proofErr w:type="spellEnd"/>
      <w:r>
        <w:rPr>
          <w:rFonts w:ascii="Helvetica"/>
          <w:sz w:val="18"/>
          <w:szCs w:val="18"/>
        </w:rPr>
        <w:t xml:space="preserve">, </w:t>
      </w:r>
      <w:hyperlink r:id="rId7" w:history="1">
        <w:r w:rsidR="00C1079D" w:rsidRPr="00C1079D">
          <w:rPr>
            <w:rStyle w:val="Hyperlink"/>
            <w:rFonts w:ascii="Helvetica"/>
            <w:sz w:val="18"/>
            <w:szCs w:val="18"/>
          </w:rPr>
          <w:t>kathrin.fenner@eawag.ch</w:t>
        </w:r>
      </w:hyperlink>
    </w:p>
    <w:p w14:paraId="798D70F3" w14:textId="35B81A37" w:rsidR="00C1079D" w:rsidRDefault="00C1079D" w:rsidP="00DD40E9">
      <w:pPr>
        <w:rPr>
          <w:rFonts w:ascii="Helvetica"/>
          <w:sz w:val="18"/>
          <w:szCs w:val="18"/>
        </w:rPr>
      </w:pPr>
      <w:r w:rsidRPr="00DD40E9">
        <w:rPr>
          <w:rFonts w:ascii="Helvetica"/>
          <w:sz w:val="18"/>
          <w:szCs w:val="18"/>
          <w:vertAlign w:val="superscript"/>
        </w:rPr>
        <w:t>3</w:t>
      </w:r>
      <w:r>
        <w:rPr>
          <w:rFonts w:ascii="Helvetica"/>
          <w:sz w:val="18"/>
          <w:szCs w:val="18"/>
        </w:rPr>
        <w:t xml:space="preserve"> ECT </w:t>
      </w:r>
      <w:proofErr w:type="spellStart"/>
      <w:r>
        <w:rPr>
          <w:rFonts w:ascii="Helvetica"/>
          <w:sz w:val="18"/>
          <w:szCs w:val="18"/>
        </w:rPr>
        <w:t>Oekotoxikologie</w:t>
      </w:r>
      <w:proofErr w:type="spellEnd"/>
      <w:r>
        <w:rPr>
          <w:rFonts w:ascii="Helvetica"/>
          <w:sz w:val="18"/>
          <w:szCs w:val="18"/>
        </w:rPr>
        <w:t xml:space="preserve"> </w:t>
      </w:r>
      <w:proofErr w:type="spellStart"/>
      <w:r>
        <w:rPr>
          <w:rFonts w:ascii="Helvetica"/>
          <w:sz w:val="18"/>
          <w:szCs w:val="18"/>
        </w:rPr>
        <w:t>GmBH</w:t>
      </w:r>
      <w:proofErr w:type="spellEnd"/>
      <w:r>
        <w:rPr>
          <w:rFonts w:ascii="Helvetica"/>
          <w:sz w:val="18"/>
          <w:szCs w:val="18"/>
        </w:rPr>
        <w:t xml:space="preserve">, </w:t>
      </w:r>
      <w:proofErr w:type="spellStart"/>
      <w:r w:rsidR="005168E6" w:rsidRPr="005168E6">
        <w:rPr>
          <w:rFonts w:ascii="Helvetica"/>
          <w:sz w:val="18"/>
          <w:szCs w:val="18"/>
          <w:lang w:val="en-US"/>
        </w:rPr>
        <w:t>B</w:t>
      </w:r>
      <w:r w:rsidR="005168E6" w:rsidRPr="005168E6">
        <w:rPr>
          <w:rFonts w:ascii="Helvetica"/>
          <w:sz w:val="18"/>
          <w:szCs w:val="18"/>
          <w:lang w:val="en-US"/>
        </w:rPr>
        <w:t>ö</w:t>
      </w:r>
      <w:r w:rsidR="005168E6" w:rsidRPr="005168E6">
        <w:rPr>
          <w:rFonts w:ascii="Helvetica"/>
          <w:sz w:val="18"/>
          <w:szCs w:val="18"/>
          <w:lang w:val="en-US"/>
        </w:rPr>
        <w:t>ttgerstrasse</w:t>
      </w:r>
      <w:proofErr w:type="spellEnd"/>
      <w:r w:rsidR="005168E6" w:rsidRPr="005168E6">
        <w:rPr>
          <w:rFonts w:ascii="Helvetica"/>
          <w:sz w:val="18"/>
          <w:szCs w:val="18"/>
          <w:lang w:val="en-US"/>
        </w:rPr>
        <w:t xml:space="preserve"> 2-14</w:t>
      </w:r>
      <w:r w:rsidR="005168E6" w:rsidRPr="005168E6">
        <w:rPr>
          <w:rFonts w:ascii="Helvetica"/>
          <w:sz w:val="18"/>
          <w:szCs w:val="18"/>
          <w:lang w:val="en-US"/>
        </w:rPr>
        <w:t> </w:t>
      </w:r>
      <w:r w:rsidR="005168E6">
        <w:rPr>
          <w:rFonts w:ascii="Helvetica"/>
          <w:sz w:val="18"/>
          <w:szCs w:val="18"/>
          <w:lang w:val="en-US"/>
        </w:rPr>
        <w:t xml:space="preserve">, </w:t>
      </w:r>
      <w:r w:rsidR="005168E6" w:rsidRPr="005168E6">
        <w:rPr>
          <w:rFonts w:ascii="Helvetica"/>
          <w:sz w:val="18"/>
          <w:szCs w:val="18"/>
          <w:lang w:val="en-US"/>
        </w:rPr>
        <w:t xml:space="preserve">D-65439 </w:t>
      </w:r>
      <w:proofErr w:type="spellStart"/>
      <w:r w:rsidR="005168E6" w:rsidRPr="005168E6">
        <w:rPr>
          <w:rFonts w:ascii="Helvetica"/>
          <w:sz w:val="18"/>
          <w:szCs w:val="18"/>
          <w:lang w:val="en-US"/>
        </w:rPr>
        <w:t>Fl</w:t>
      </w:r>
      <w:r w:rsidR="005168E6" w:rsidRPr="005168E6">
        <w:rPr>
          <w:rFonts w:ascii="Helvetica"/>
          <w:sz w:val="18"/>
          <w:szCs w:val="18"/>
          <w:lang w:val="en-US"/>
        </w:rPr>
        <w:t>ö</w:t>
      </w:r>
      <w:r w:rsidR="005168E6">
        <w:rPr>
          <w:rFonts w:ascii="Helvetica"/>
          <w:sz w:val="18"/>
          <w:szCs w:val="18"/>
          <w:lang w:val="en-US"/>
        </w:rPr>
        <w:t>rsheim</w:t>
      </w:r>
      <w:proofErr w:type="spellEnd"/>
      <w:r w:rsidR="005168E6">
        <w:rPr>
          <w:rFonts w:ascii="Helvetica"/>
          <w:sz w:val="18"/>
          <w:szCs w:val="18"/>
          <w:lang w:val="en-US"/>
        </w:rPr>
        <w:t xml:space="preserve"> am </w:t>
      </w:r>
      <w:r w:rsidR="005168E6" w:rsidRPr="005168E6">
        <w:rPr>
          <w:rFonts w:ascii="Helvetica"/>
          <w:sz w:val="18"/>
          <w:szCs w:val="18"/>
          <w:lang w:val="en-US"/>
        </w:rPr>
        <w:t>Main</w:t>
      </w:r>
      <w:r w:rsidR="005168E6">
        <w:rPr>
          <w:rFonts w:ascii="Helvetica"/>
          <w:sz w:val="18"/>
          <w:szCs w:val="18"/>
        </w:rPr>
        <w:t xml:space="preserve">, </w:t>
      </w:r>
      <w:r w:rsidR="005168E6" w:rsidRPr="005168E6">
        <w:rPr>
          <w:rFonts w:ascii="Helvetica"/>
          <w:sz w:val="18"/>
          <w:szCs w:val="18"/>
        </w:rPr>
        <w:t>th-junker@ect.de</w:t>
      </w:r>
    </w:p>
    <w:p w14:paraId="1F8CF975" w14:textId="0C2EC6CD" w:rsidR="00C1079D" w:rsidRDefault="00C1079D" w:rsidP="00DD40E9">
      <w:pPr>
        <w:rPr>
          <w:rFonts w:ascii="Helvetica"/>
          <w:sz w:val="18"/>
          <w:szCs w:val="18"/>
        </w:rPr>
      </w:pPr>
      <w:r w:rsidRPr="00DD40E9">
        <w:rPr>
          <w:rFonts w:ascii="Helvetica"/>
          <w:sz w:val="18"/>
          <w:szCs w:val="18"/>
          <w:vertAlign w:val="superscript"/>
          <w:lang w:val="en-US"/>
        </w:rPr>
        <w:t>4</w:t>
      </w:r>
      <w:r>
        <w:rPr>
          <w:rFonts w:ascii="Helvetica"/>
          <w:sz w:val="18"/>
          <w:szCs w:val="18"/>
          <w:lang w:val="en-US"/>
        </w:rPr>
        <w:t xml:space="preserve"> Dept. of Ecological Chemistry,</w:t>
      </w:r>
      <w:r w:rsidRPr="00C1079D">
        <w:rPr>
          <w:rFonts w:ascii="Helvetica"/>
          <w:sz w:val="18"/>
          <w:szCs w:val="18"/>
          <w:lang w:val="en-US"/>
        </w:rPr>
        <w:t xml:space="preserve"> </w:t>
      </w:r>
      <w:proofErr w:type="spellStart"/>
      <w:r w:rsidRPr="00C1079D">
        <w:rPr>
          <w:rFonts w:ascii="Helvetica"/>
          <w:sz w:val="18"/>
          <w:szCs w:val="18"/>
          <w:lang w:val="en-US"/>
        </w:rPr>
        <w:t>Fraunhofer</w:t>
      </w:r>
      <w:proofErr w:type="spellEnd"/>
      <w:r w:rsidRPr="00C1079D">
        <w:rPr>
          <w:rFonts w:ascii="Helvetica"/>
          <w:sz w:val="18"/>
          <w:szCs w:val="18"/>
          <w:lang w:val="en-US"/>
        </w:rPr>
        <w:t xml:space="preserve"> IME</w:t>
      </w:r>
      <w:r>
        <w:rPr>
          <w:rFonts w:ascii="Helvetica"/>
          <w:sz w:val="18"/>
          <w:szCs w:val="18"/>
          <w:lang w:val="en-US"/>
        </w:rPr>
        <w:t xml:space="preserve">, </w:t>
      </w:r>
      <w:r w:rsidRPr="00C1079D">
        <w:rPr>
          <w:rFonts w:ascii="Helvetica"/>
          <w:sz w:val="18"/>
          <w:szCs w:val="18"/>
          <w:lang w:val="en-US"/>
        </w:rPr>
        <w:t xml:space="preserve">Auf </w:t>
      </w:r>
      <w:proofErr w:type="spellStart"/>
      <w:r w:rsidRPr="00C1079D">
        <w:rPr>
          <w:rFonts w:ascii="Helvetica"/>
          <w:sz w:val="18"/>
          <w:szCs w:val="18"/>
          <w:lang w:val="en-US"/>
        </w:rPr>
        <w:t>dem</w:t>
      </w:r>
      <w:proofErr w:type="spellEnd"/>
      <w:r w:rsidRPr="00C1079D">
        <w:rPr>
          <w:rFonts w:ascii="Helvetica"/>
          <w:sz w:val="18"/>
          <w:szCs w:val="18"/>
          <w:lang w:val="en-US"/>
        </w:rPr>
        <w:t xml:space="preserve"> </w:t>
      </w:r>
      <w:proofErr w:type="spellStart"/>
      <w:r w:rsidRPr="00C1079D">
        <w:rPr>
          <w:rFonts w:ascii="Helvetica"/>
          <w:sz w:val="18"/>
          <w:szCs w:val="18"/>
          <w:lang w:val="en-US"/>
        </w:rPr>
        <w:t>Aberg</w:t>
      </w:r>
      <w:proofErr w:type="spellEnd"/>
      <w:r w:rsidRPr="00C1079D">
        <w:rPr>
          <w:rFonts w:ascii="Helvetica"/>
          <w:sz w:val="18"/>
          <w:szCs w:val="18"/>
          <w:lang w:val="en-US"/>
        </w:rPr>
        <w:t xml:space="preserve"> 1</w:t>
      </w:r>
      <w:r w:rsidRPr="00C1079D">
        <w:rPr>
          <w:rFonts w:ascii="Helvetica"/>
          <w:sz w:val="18"/>
          <w:szCs w:val="18"/>
          <w:lang w:val="en-US"/>
        </w:rPr>
        <w:t> </w:t>
      </w:r>
      <w:r w:rsidRPr="00C1079D">
        <w:rPr>
          <w:rFonts w:ascii="Helvetica"/>
          <w:sz w:val="18"/>
          <w:szCs w:val="18"/>
          <w:lang w:val="en-US"/>
        </w:rPr>
        <w:t xml:space="preserve">57392 </w:t>
      </w:r>
      <w:proofErr w:type="spellStart"/>
      <w:r w:rsidRPr="00C1079D">
        <w:rPr>
          <w:rFonts w:ascii="Helvetica"/>
          <w:sz w:val="18"/>
          <w:szCs w:val="18"/>
          <w:lang w:val="en-US"/>
        </w:rPr>
        <w:t>Schmallenberg</w:t>
      </w:r>
      <w:proofErr w:type="spellEnd"/>
      <w:r>
        <w:rPr>
          <w:rFonts w:ascii="Helvetica"/>
          <w:sz w:val="18"/>
          <w:szCs w:val="18"/>
          <w:lang w:val="en-US"/>
        </w:rPr>
        <w:t xml:space="preserve">, Germany, </w:t>
      </w:r>
      <w:proofErr w:type="spellStart"/>
      <w:r>
        <w:rPr>
          <w:rFonts w:ascii="Helvetica"/>
          <w:sz w:val="18"/>
          <w:szCs w:val="18"/>
          <w:lang w:val="en-US"/>
        </w:rPr>
        <w:t>Hennecke</w:t>
      </w:r>
      <w:proofErr w:type="spellEnd"/>
      <w:r>
        <w:rPr>
          <w:rFonts w:ascii="Helvetica"/>
          <w:sz w:val="18"/>
          <w:szCs w:val="18"/>
          <w:lang w:val="en-US"/>
        </w:rPr>
        <w:t>, d</w:t>
      </w:r>
      <w:r w:rsidRPr="00C1079D">
        <w:rPr>
          <w:rFonts w:ascii="Helvetica"/>
          <w:sz w:val="18"/>
          <w:szCs w:val="18"/>
          <w:lang w:val="en-US"/>
        </w:rPr>
        <w:t>ieter.</w:t>
      </w:r>
      <w:r>
        <w:rPr>
          <w:rFonts w:ascii="Helvetica"/>
          <w:sz w:val="18"/>
          <w:szCs w:val="18"/>
          <w:lang w:val="en-US"/>
        </w:rPr>
        <w:t>h</w:t>
      </w:r>
      <w:r w:rsidRPr="00C1079D">
        <w:rPr>
          <w:rFonts w:ascii="Helvetica"/>
          <w:sz w:val="18"/>
          <w:szCs w:val="18"/>
          <w:lang w:val="en-US"/>
        </w:rPr>
        <w:t>ennecke@ime.fraunhofer.de</w:t>
      </w:r>
    </w:p>
    <w:p w14:paraId="0FD581E0" w14:textId="678FE201" w:rsidR="005168E6" w:rsidRPr="00DD40E9" w:rsidRDefault="005168E6" w:rsidP="00DD40E9">
      <w:pPr>
        <w:rPr>
          <w:rFonts w:ascii="Helvetica"/>
          <w:sz w:val="18"/>
          <w:szCs w:val="18"/>
          <w:lang w:val="en-US"/>
        </w:rPr>
      </w:pPr>
      <w:r w:rsidRPr="00DD40E9">
        <w:rPr>
          <w:rFonts w:ascii="Helvetica"/>
          <w:sz w:val="18"/>
          <w:szCs w:val="18"/>
          <w:vertAlign w:val="superscript"/>
          <w:lang w:val="en-US"/>
        </w:rPr>
        <w:t>5</w:t>
      </w:r>
      <w:r w:rsidRPr="00DD40E9">
        <w:rPr>
          <w:rFonts w:ascii="Helvetica"/>
          <w:sz w:val="18"/>
          <w:szCs w:val="18"/>
          <w:lang w:val="en-US"/>
        </w:rPr>
        <w:t xml:space="preserve"> Dept. for Chemical Risk Assessment, </w:t>
      </w:r>
      <w:proofErr w:type="spellStart"/>
      <w:r w:rsidRPr="00DD40E9">
        <w:rPr>
          <w:rFonts w:ascii="Helvetica"/>
          <w:sz w:val="18"/>
          <w:szCs w:val="18"/>
          <w:lang w:val="en-US"/>
        </w:rPr>
        <w:t>Fraunhofer</w:t>
      </w:r>
      <w:proofErr w:type="spellEnd"/>
      <w:r w:rsidRPr="00DD40E9">
        <w:rPr>
          <w:rFonts w:ascii="Helvetica"/>
          <w:sz w:val="18"/>
          <w:szCs w:val="18"/>
          <w:lang w:val="en-US"/>
        </w:rPr>
        <w:t xml:space="preserve"> ITEM, Nikolai-Fuchs-</w:t>
      </w:r>
      <w:proofErr w:type="spellStart"/>
      <w:r w:rsidRPr="00DD40E9">
        <w:rPr>
          <w:rFonts w:ascii="Helvetica"/>
          <w:sz w:val="18"/>
          <w:szCs w:val="18"/>
          <w:lang w:val="en-US"/>
        </w:rPr>
        <w:t>Strasse</w:t>
      </w:r>
      <w:proofErr w:type="spellEnd"/>
      <w:r w:rsidRPr="00DD40E9">
        <w:rPr>
          <w:rFonts w:ascii="Helvetica"/>
          <w:sz w:val="18"/>
          <w:szCs w:val="18"/>
          <w:lang w:val="en-US"/>
        </w:rPr>
        <w:t xml:space="preserve"> 1, 30625 Hannover, Germany</w:t>
      </w:r>
    </w:p>
    <w:p w14:paraId="69A99063" w14:textId="41275B8F" w:rsidR="00C81E6F" w:rsidRDefault="005168E6" w:rsidP="00DD40E9">
      <w:pPr>
        <w:rPr>
          <w:rFonts w:ascii="Helvetica" w:eastAsia="Helvetica" w:hAnsi="Helvetica" w:cs="Helvetica"/>
          <w:sz w:val="18"/>
          <w:szCs w:val="18"/>
        </w:rPr>
      </w:pPr>
      <w:hyperlink r:id="rId8" w:history="1">
        <w:r w:rsidRPr="00DD40E9">
          <w:rPr>
            <w:rStyle w:val="Hyperlink"/>
            <w:rFonts w:ascii="Helvetica"/>
            <w:sz w:val="18"/>
            <w:szCs w:val="18"/>
            <w:lang w:val="en-US"/>
          </w:rPr>
          <w:t>stefan.hahn@item.fraunhofer.de</w:t>
        </w:r>
      </w:hyperlink>
    </w:p>
    <w:p w14:paraId="0A94C27D" w14:textId="77777777" w:rsidR="009B131E" w:rsidRDefault="009B131E">
      <w:pPr>
        <w:rPr>
          <w:rFonts w:ascii="Helvetica" w:eastAsia="Helvetica" w:hAnsi="Helvetica" w:cs="Helvetica"/>
          <w:sz w:val="18"/>
          <w:szCs w:val="18"/>
        </w:rPr>
      </w:pPr>
    </w:p>
    <w:p w14:paraId="07F5DC4D" w14:textId="61B5A86D" w:rsidR="009B131E" w:rsidRPr="00EA531C" w:rsidRDefault="00EA531C">
      <w:pPr>
        <w:jc w:val="both"/>
        <w:rPr>
          <w:rFonts w:ascii="Helvetica" w:eastAsia="Helvetica" w:hAnsi="Helvetica" w:cs="Helvetica"/>
          <w:sz w:val="20"/>
          <w:szCs w:val="20"/>
          <w:lang w:val="en-GB"/>
        </w:rPr>
      </w:pPr>
      <w:r w:rsidRPr="00EA531C">
        <w:rPr>
          <w:rFonts w:ascii="Helvetica"/>
          <w:sz w:val="20"/>
          <w:szCs w:val="20"/>
          <w:lang w:val="en-GB"/>
        </w:rPr>
        <w:t xml:space="preserve">The OECD guidelines 308 and 309 define simulation tests aimed at </w:t>
      </w:r>
      <w:r>
        <w:rPr>
          <w:rFonts w:ascii="Helvetica"/>
          <w:sz w:val="20"/>
          <w:szCs w:val="20"/>
          <w:lang w:val="en-GB"/>
        </w:rPr>
        <w:t xml:space="preserve">simulating </w:t>
      </w:r>
      <w:r w:rsidR="002A059C">
        <w:rPr>
          <w:rFonts w:ascii="Helvetica"/>
          <w:sz w:val="20"/>
          <w:szCs w:val="20"/>
          <w:lang w:val="en-GB"/>
        </w:rPr>
        <w:t>chemical</w:t>
      </w:r>
      <w:r>
        <w:rPr>
          <w:rFonts w:ascii="Helvetica"/>
          <w:sz w:val="20"/>
          <w:szCs w:val="20"/>
          <w:lang w:val="en-GB"/>
        </w:rPr>
        <w:t xml:space="preserve"> transformation in</w:t>
      </w:r>
      <w:r w:rsidRPr="00EA531C">
        <w:rPr>
          <w:rFonts w:ascii="Helvetica"/>
          <w:sz w:val="20"/>
          <w:szCs w:val="20"/>
          <w:lang w:val="en-GB"/>
        </w:rPr>
        <w:t xml:space="preserve"> </w:t>
      </w:r>
      <w:r>
        <w:rPr>
          <w:rFonts w:ascii="Helvetica"/>
          <w:sz w:val="20"/>
          <w:szCs w:val="20"/>
          <w:lang w:val="en-GB"/>
        </w:rPr>
        <w:t>stagnant, layered</w:t>
      </w:r>
      <w:r w:rsidRPr="00EA531C">
        <w:rPr>
          <w:rFonts w:ascii="Helvetica"/>
          <w:sz w:val="20"/>
          <w:szCs w:val="20"/>
          <w:lang w:val="en-GB"/>
        </w:rPr>
        <w:t xml:space="preserve"> aerobic and anaerobic, </w:t>
      </w:r>
      <w:proofErr w:type="gramStart"/>
      <w:r w:rsidRPr="00EA531C">
        <w:rPr>
          <w:rFonts w:ascii="Helvetica"/>
          <w:sz w:val="20"/>
          <w:szCs w:val="20"/>
          <w:lang w:val="en-GB"/>
        </w:rPr>
        <w:t>versus</w:t>
      </w:r>
      <w:proofErr w:type="gramEnd"/>
      <w:r w:rsidRPr="00EA531C">
        <w:rPr>
          <w:rFonts w:ascii="Helvetica"/>
          <w:sz w:val="20"/>
          <w:szCs w:val="20"/>
          <w:lang w:val="en-GB"/>
        </w:rPr>
        <w:t xml:space="preserve"> </w:t>
      </w:r>
      <w:r>
        <w:rPr>
          <w:rFonts w:ascii="Helvetica"/>
          <w:sz w:val="20"/>
          <w:szCs w:val="20"/>
          <w:lang w:val="en-GB"/>
        </w:rPr>
        <w:t xml:space="preserve">stirred, </w:t>
      </w:r>
      <w:r w:rsidRPr="00EA531C">
        <w:rPr>
          <w:rFonts w:ascii="Helvetica"/>
          <w:sz w:val="20"/>
          <w:szCs w:val="20"/>
          <w:lang w:val="en-GB"/>
        </w:rPr>
        <w:t>purely aerobic water-sediment systems, respectively. The objectives of these tests are two</w:t>
      </w:r>
      <w:r w:rsidR="002A059C">
        <w:rPr>
          <w:rFonts w:ascii="Helvetica"/>
          <w:sz w:val="20"/>
          <w:szCs w:val="20"/>
          <w:lang w:val="en-GB"/>
        </w:rPr>
        <w:t>-</w:t>
      </w:r>
      <w:proofErr w:type="gramStart"/>
      <w:r w:rsidRPr="00EA531C">
        <w:rPr>
          <w:rFonts w:ascii="Helvetica"/>
          <w:sz w:val="20"/>
          <w:szCs w:val="20"/>
          <w:lang w:val="en-GB"/>
        </w:rPr>
        <w:t>fold,</w:t>
      </w:r>
      <w:proofErr w:type="gramEnd"/>
      <w:r w:rsidRPr="00EA531C">
        <w:rPr>
          <w:rFonts w:ascii="Helvetica"/>
          <w:sz w:val="20"/>
          <w:szCs w:val="20"/>
          <w:lang w:val="en-GB"/>
        </w:rPr>
        <w:t xml:space="preserve"> they </w:t>
      </w:r>
      <w:r w:rsidR="002A059C">
        <w:rPr>
          <w:rFonts w:ascii="Helvetica"/>
          <w:sz w:val="20"/>
          <w:szCs w:val="20"/>
          <w:lang w:val="en-GB"/>
        </w:rPr>
        <w:t xml:space="preserve">should </w:t>
      </w:r>
      <w:r w:rsidRPr="00EA531C">
        <w:rPr>
          <w:rFonts w:ascii="Helvetica"/>
          <w:sz w:val="20"/>
          <w:szCs w:val="20"/>
          <w:lang w:val="en-GB"/>
        </w:rPr>
        <w:t xml:space="preserve">serve both </w:t>
      </w:r>
      <w:r w:rsidR="002A059C">
        <w:rPr>
          <w:rFonts w:ascii="Helvetica"/>
          <w:sz w:val="20"/>
          <w:szCs w:val="20"/>
          <w:lang w:val="en-GB"/>
        </w:rPr>
        <w:t xml:space="preserve">the </w:t>
      </w:r>
      <w:r w:rsidRPr="00EA531C">
        <w:rPr>
          <w:rFonts w:ascii="Helvetica"/>
          <w:sz w:val="20"/>
          <w:szCs w:val="20"/>
          <w:lang w:val="en-GB"/>
        </w:rPr>
        <w:t xml:space="preserve">direct </w:t>
      </w:r>
      <w:r w:rsidR="002A059C">
        <w:rPr>
          <w:rFonts w:ascii="Helvetica"/>
          <w:sz w:val="20"/>
          <w:szCs w:val="20"/>
          <w:lang w:val="en-GB"/>
        </w:rPr>
        <w:t xml:space="preserve">estimation of </w:t>
      </w:r>
      <w:r w:rsidRPr="00EA531C">
        <w:rPr>
          <w:rFonts w:ascii="Helvetica"/>
          <w:sz w:val="20"/>
          <w:szCs w:val="20"/>
          <w:lang w:val="en-GB"/>
        </w:rPr>
        <w:t xml:space="preserve">persistence </w:t>
      </w:r>
      <w:r w:rsidR="002A059C">
        <w:rPr>
          <w:rFonts w:ascii="Helvetica"/>
          <w:sz w:val="20"/>
          <w:szCs w:val="20"/>
          <w:lang w:val="en-GB"/>
        </w:rPr>
        <w:t>indicators for hazard assessment</w:t>
      </w:r>
      <w:r w:rsidR="002A059C" w:rsidRPr="00EA531C">
        <w:rPr>
          <w:rFonts w:ascii="Helvetica"/>
          <w:sz w:val="20"/>
          <w:szCs w:val="20"/>
          <w:lang w:val="en-GB"/>
        </w:rPr>
        <w:t xml:space="preserve"> </w:t>
      </w:r>
      <w:r w:rsidRPr="00EA531C">
        <w:rPr>
          <w:rFonts w:ascii="Helvetica"/>
          <w:sz w:val="20"/>
          <w:szCs w:val="20"/>
          <w:lang w:val="en-GB"/>
        </w:rPr>
        <w:t>and the estimation of half</w:t>
      </w:r>
      <w:r w:rsidR="002A059C">
        <w:rPr>
          <w:rFonts w:ascii="Helvetica"/>
          <w:sz w:val="20"/>
          <w:szCs w:val="20"/>
          <w:lang w:val="en-GB"/>
        </w:rPr>
        <w:t>-</w:t>
      </w:r>
      <w:r w:rsidRPr="00EA531C">
        <w:rPr>
          <w:rFonts w:ascii="Helvetica"/>
          <w:sz w:val="20"/>
          <w:szCs w:val="20"/>
          <w:lang w:val="en-GB"/>
        </w:rPr>
        <w:t>lives for</w:t>
      </w:r>
      <w:r w:rsidR="002A059C">
        <w:rPr>
          <w:rFonts w:ascii="Helvetica"/>
          <w:sz w:val="20"/>
          <w:szCs w:val="20"/>
          <w:lang w:val="en-GB"/>
        </w:rPr>
        <w:t xml:space="preserve"> use in</w:t>
      </w:r>
      <w:r w:rsidRPr="00EA531C">
        <w:rPr>
          <w:rFonts w:ascii="Helvetica"/>
          <w:sz w:val="20"/>
          <w:szCs w:val="20"/>
          <w:lang w:val="en-GB"/>
        </w:rPr>
        <w:t xml:space="preserve"> exposure modelling.</w:t>
      </w:r>
    </w:p>
    <w:p w14:paraId="7E1133DC" w14:textId="77777777" w:rsidR="009B131E" w:rsidRPr="00EA531C" w:rsidRDefault="009B131E">
      <w:pPr>
        <w:jc w:val="both"/>
        <w:rPr>
          <w:rFonts w:ascii="Helvetica" w:eastAsia="Helvetica" w:hAnsi="Helvetica" w:cs="Helvetica"/>
          <w:sz w:val="20"/>
          <w:szCs w:val="20"/>
          <w:lang w:val="en-GB"/>
        </w:rPr>
      </w:pPr>
    </w:p>
    <w:p w14:paraId="74FF8078" w14:textId="0F3F0C51" w:rsidR="009B131E" w:rsidRPr="00EA531C" w:rsidRDefault="00EA531C">
      <w:pPr>
        <w:jc w:val="both"/>
        <w:rPr>
          <w:rFonts w:ascii="Helvetica" w:eastAsia="Helvetica" w:hAnsi="Helvetica" w:cs="Helvetica"/>
          <w:sz w:val="20"/>
          <w:szCs w:val="20"/>
          <w:lang w:val="en-GB"/>
        </w:rPr>
      </w:pPr>
      <w:r w:rsidRPr="00EA531C">
        <w:rPr>
          <w:rFonts w:ascii="Helvetica"/>
          <w:sz w:val="20"/>
          <w:szCs w:val="20"/>
          <w:lang w:val="en-GB"/>
        </w:rPr>
        <w:t xml:space="preserve">While </w:t>
      </w:r>
      <w:r w:rsidR="00270C5A">
        <w:rPr>
          <w:rFonts w:ascii="Helvetica"/>
          <w:sz w:val="20"/>
          <w:szCs w:val="20"/>
          <w:lang w:val="en-GB"/>
        </w:rPr>
        <w:t xml:space="preserve">system- or compartment-specific </w:t>
      </w:r>
      <w:r w:rsidR="002A059C">
        <w:rPr>
          <w:rFonts w:ascii="Helvetica"/>
          <w:sz w:val="20"/>
          <w:szCs w:val="20"/>
          <w:lang w:val="en-GB"/>
        </w:rPr>
        <w:t xml:space="preserve">dissipation </w:t>
      </w:r>
      <w:r w:rsidRPr="00EA531C">
        <w:rPr>
          <w:rFonts w:ascii="Helvetica"/>
          <w:sz w:val="20"/>
          <w:szCs w:val="20"/>
          <w:lang w:val="en-GB"/>
        </w:rPr>
        <w:t xml:space="preserve">half-lives of the parent compound </w:t>
      </w:r>
      <w:proofErr w:type="gramStart"/>
      <w:r w:rsidRPr="00EA531C">
        <w:rPr>
          <w:rFonts w:ascii="Helvetica"/>
          <w:sz w:val="20"/>
          <w:szCs w:val="20"/>
          <w:lang w:val="en-GB"/>
        </w:rPr>
        <w:t>are</w:t>
      </w:r>
      <w:proofErr w:type="gramEnd"/>
      <w:r w:rsidRPr="00EA531C">
        <w:rPr>
          <w:rFonts w:ascii="Helvetica"/>
          <w:sz w:val="20"/>
          <w:szCs w:val="20"/>
          <w:lang w:val="en-GB"/>
        </w:rPr>
        <w:t xml:space="preserve"> directly extractable from the experimental data, they are strongly system-specific </w:t>
      </w:r>
      <w:r w:rsidR="002A059C">
        <w:rPr>
          <w:rFonts w:ascii="Helvetica"/>
          <w:sz w:val="20"/>
          <w:szCs w:val="20"/>
          <w:lang w:val="en-GB"/>
        </w:rPr>
        <w:t>and mix up</w:t>
      </w:r>
      <w:r w:rsidRPr="00EA531C">
        <w:rPr>
          <w:rFonts w:ascii="Helvetica"/>
          <w:sz w:val="20"/>
          <w:szCs w:val="20"/>
          <w:lang w:val="en-GB"/>
        </w:rPr>
        <w:t xml:space="preserve"> phase-transfer with transformation</w:t>
      </w:r>
      <w:r w:rsidR="002A059C">
        <w:rPr>
          <w:rFonts w:ascii="Helvetica"/>
          <w:sz w:val="20"/>
          <w:szCs w:val="20"/>
          <w:lang w:val="en-GB"/>
        </w:rPr>
        <w:t>.</w:t>
      </w:r>
      <w:r w:rsidRPr="00EA531C">
        <w:rPr>
          <w:rFonts w:ascii="Helvetica"/>
          <w:sz w:val="20"/>
          <w:szCs w:val="20"/>
          <w:lang w:val="en-GB"/>
        </w:rPr>
        <w:t xml:space="preserve"> </w:t>
      </w:r>
      <w:r w:rsidR="002A059C">
        <w:rPr>
          <w:rFonts w:ascii="Helvetica"/>
          <w:sz w:val="20"/>
          <w:szCs w:val="20"/>
          <w:lang w:val="en-GB"/>
        </w:rPr>
        <w:t>They</w:t>
      </w:r>
      <w:r w:rsidR="002A059C" w:rsidRPr="00EA531C">
        <w:rPr>
          <w:rFonts w:ascii="Helvetica"/>
          <w:sz w:val="20"/>
          <w:szCs w:val="20"/>
          <w:lang w:val="en-GB"/>
        </w:rPr>
        <w:t xml:space="preserve"> </w:t>
      </w:r>
      <w:r w:rsidRPr="00EA531C">
        <w:rPr>
          <w:rFonts w:ascii="Helvetica"/>
          <w:sz w:val="20"/>
          <w:szCs w:val="20"/>
          <w:lang w:val="en-GB"/>
        </w:rPr>
        <w:t xml:space="preserve">therefore </w:t>
      </w:r>
      <w:r w:rsidR="002A059C">
        <w:rPr>
          <w:rFonts w:ascii="Helvetica"/>
          <w:sz w:val="20"/>
          <w:szCs w:val="20"/>
          <w:lang w:val="en-GB"/>
        </w:rPr>
        <w:t xml:space="preserve">are </w:t>
      </w:r>
      <w:r w:rsidRPr="00EA531C">
        <w:rPr>
          <w:rFonts w:ascii="Helvetica"/>
          <w:sz w:val="20"/>
          <w:szCs w:val="20"/>
          <w:lang w:val="en-GB"/>
        </w:rPr>
        <w:t>not suitable to make generalised statements about persistence</w:t>
      </w:r>
      <w:r w:rsidR="002A059C">
        <w:rPr>
          <w:rFonts w:ascii="Helvetica"/>
          <w:sz w:val="20"/>
          <w:szCs w:val="20"/>
          <w:lang w:val="en-GB"/>
        </w:rPr>
        <w:t xml:space="preserve"> or compartment-specific half-lives</w:t>
      </w:r>
      <w:r w:rsidRPr="00EA531C">
        <w:rPr>
          <w:rFonts w:ascii="Helvetica"/>
          <w:sz w:val="20"/>
          <w:szCs w:val="20"/>
          <w:lang w:val="en-GB"/>
        </w:rPr>
        <w:t xml:space="preserve">. Due to the complexity of </w:t>
      </w:r>
      <w:r w:rsidR="002A059C">
        <w:rPr>
          <w:rFonts w:ascii="Helvetica"/>
          <w:sz w:val="20"/>
          <w:szCs w:val="20"/>
          <w:lang w:val="en-GB"/>
        </w:rPr>
        <w:t xml:space="preserve">the </w:t>
      </w:r>
      <w:r w:rsidRPr="00EA531C">
        <w:rPr>
          <w:rFonts w:ascii="Helvetica"/>
          <w:sz w:val="20"/>
          <w:szCs w:val="20"/>
          <w:lang w:val="en-GB"/>
        </w:rPr>
        <w:t xml:space="preserve">308 </w:t>
      </w:r>
      <w:proofErr w:type="gramStart"/>
      <w:r w:rsidRPr="00EA531C">
        <w:rPr>
          <w:rFonts w:ascii="Helvetica"/>
          <w:sz w:val="20"/>
          <w:szCs w:val="20"/>
          <w:lang w:val="en-GB"/>
        </w:rPr>
        <w:t>system</w:t>
      </w:r>
      <w:proofErr w:type="gramEnd"/>
      <w:r w:rsidRPr="00EA531C">
        <w:rPr>
          <w:rFonts w:ascii="Helvetica"/>
          <w:sz w:val="20"/>
          <w:szCs w:val="20"/>
          <w:lang w:val="en-GB"/>
        </w:rPr>
        <w:t xml:space="preserve">, </w:t>
      </w:r>
      <w:r w:rsidR="002A059C">
        <w:rPr>
          <w:rFonts w:ascii="Helvetica"/>
          <w:sz w:val="20"/>
          <w:szCs w:val="20"/>
          <w:lang w:val="en-GB"/>
        </w:rPr>
        <w:t xml:space="preserve">compartment-specific </w:t>
      </w:r>
      <w:r w:rsidRPr="00EA531C">
        <w:rPr>
          <w:rFonts w:ascii="Helvetica"/>
          <w:sz w:val="20"/>
          <w:szCs w:val="20"/>
          <w:lang w:val="en-GB"/>
        </w:rPr>
        <w:t xml:space="preserve">transformation </w:t>
      </w:r>
      <w:r w:rsidR="002A059C">
        <w:rPr>
          <w:rFonts w:ascii="Helvetica"/>
          <w:sz w:val="20"/>
          <w:szCs w:val="20"/>
          <w:lang w:val="en-GB"/>
        </w:rPr>
        <w:t>rate constants</w:t>
      </w:r>
      <w:r w:rsidR="002A059C" w:rsidRPr="00EA531C">
        <w:rPr>
          <w:rFonts w:ascii="Helvetica"/>
          <w:sz w:val="20"/>
          <w:szCs w:val="20"/>
          <w:lang w:val="en-GB"/>
        </w:rPr>
        <w:t xml:space="preserve"> </w:t>
      </w:r>
      <w:r w:rsidRPr="00EA531C">
        <w:rPr>
          <w:rFonts w:ascii="Helvetica"/>
          <w:sz w:val="20"/>
          <w:szCs w:val="20"/>
          <w:lang w:val="en-GB"/>
        </w:rPr>
        <w:t xml:space="preserve">are best extracted by inverse modelling (according to the FOCUS guideline). Models, however, suffer from structural and parameter </w:t>
      </w:r>
      <w:proofErr w:type="spellStart"/>
      <w:r w:rsidRPr="00EA531C">
        <w:rPr>
          <w:rFonts w:ascii="Helvetica"/>
          <w:sz w:val="20"/>
          <w:szCs w:val="20"/>
          <w:lang w:val="en-GB"/>
        </w:rPr>
        <w:t>identifiability</w:t>
      </w:r>
      <w:proofErr w:type="spellEnd"/>
      <w:r w:rsidRPr="00EA531C">
        <w:rPr>
          <w:rFonts w:ascii="Helvetica"/>
          <w:sz w:val="20"/>
          <w:szCs w:val="20"/>
          <w:lang w:val="en-GB"/>
        </w:rPr>
        <w:t xml:space="preserve"> problems and therefore the extracted transformation rates are highly uncertain and at least partly system- and model-specific (</w:t>
      </w:r>
      <w:proofErr w:type="spellStart"/>
      <w:r w:rsidRPr="00EA531C">
        <w:rPr>
          <w:rFonts w:ascii="Helvetica"/>
          <w:smallCaps/>
          <w:sz w:val="20"/>
          <w:szCs w:val="20"/>
          <w:lang w:val="en-GB"/>
        </w:rPr>
        <w:t>Honti</w:t>
      </w:r>
      <w:proofErr w:type="spellEnd"/>
      <w:r w:rsidRPr="00EA531C">
        <w:rPr>
          <w:rFonts w:ascii="Helvetica"/>
          <w:smallCaps/>
          <w:sz w:val="20"/>
          <w:szCs w:val="20"/>
          <w:lang w:val="en-GB"/>
        </w:rPr>
        <w:t xml:space="preserve"> &amp; </w:t>
      </w:r>
      <w:proofErr w:type="spellStart"/>
      <w:r w:rsidRPr="00EA531C">
        <w:rPr>
          <w:rFonts w:ascii="Helvetica"/>
          <w:smallCaps/>
          <w:sz w:val="20"/>
          <w:szCs w:val="20"/>
          <w:lang w:val="en-GB"/>
        </w:rPr>
        <w:t>Fenner</w:t>
      </w:r>
      <w:proofErr w:type="spellEnd"/>
      <w:r w:rsidR="00335A5D" w:rsidRPr="00DD40E9">
        <w:rPr>
          <w:rFonts w:ascii="Helvetica" w:hAnsi="Helvetica"/>
          <w:sz w:val="20"/>
          <w:szCs w:val="20"/>
          <w:lang w:val="en-GB"/>
        </w:rPr>
        <w:t xml:space="preserve"> </w:t>
      </w:r>
      <w:r w:rsidR="00C1079D">
        <w:rPr>
          <w:rFonts w:ascii="Helvetica" w:hAnsi="Helvetica"/>
          <w:sz w:val="20"/>
          <w:szCs w:val="20"/>
          <w:lang w:val="en-GB"/>
        </w:rPr>
        <w:t>2015</w:t>
      </w:r>
      <w:r w:rsidRPr="00EA531C">
        <w:rPr>
          <w:rFonts w:ascii="Helvetica"/>
          <w:sz w:val="20"/>
          <w:szCs w:val="20"/>
          <w:lang w:val="en-GB"/>
        </w:rPr>
        <w:t xml:space="preserve">). </w:t>
      </w:r>
      <w:r w:rsidR="007E732E">
        <w:rPr>
          <w:rFonts w:ascii="Helvetica"/>
          <w:sz w:val="20"/>
          <w:szCs w:val="20"/>
          <w:lang w:val="en-GB"/>
        </w:rPr>
        <w:t>In con</w:t>
      </w:r>
      <w:r w:rsidR="002A059C">
        <w:rPr>
          <w:rFonts w:ascii="Helvetica"/>
          <w:sz w:val="20"/>
          <w:szCs w:val="20"/>
          <w:lang w:val="en-GB"/>
        </w:rPr>
        <w:t xml:space="preserve">trast, </w:t>
      </w:r>
      <w:r w:rsidR="007E732E">
        <w:rPr>
          <w:rFonts w:ascii="Helvetica"/>
          <w:sz w:val="20"/>
          <w:szCs w:val="20"/>
          <w:lang w:val="en-GB"/>
        </w:rPr>
        <w:t xml:space="preserve">309 experiments </w:t>
      </w:r>
      <w:r w:rsidR="002A059C">
        <w:rPr>
          <w:rFonts w:ascii="Helvetica"/>
          <w:sz w:val="20"/>
          <w:szCs w:val="20"/>
          <w:lang w:val="en-GB"/>
        </w:rPr>
        <w:t xml:space="preserve">with suspended sediments can be mostly treated as fully aerobic bioreactors. Therefore, assuming first-order kinetics and fast sorption equilibration, the estimation of biotransformation rate constants from 309 data should be better accessible and less uncertain. As such, there is scope for 309 tests with suspended sediment to serve as proxy for degradation in the aerobic phase of the more complicated 308 </w:t>
      </w:r>
      <w:proofErr w:type="gramStart"/>
      <w:r w:rsidR="002A059C">
        <w:rPr>
          <w:rFonts w:ascii="Helvetica"/>
          <w:sz w:val="20"/>
          <w:szCs w:val="20"/>
          <w:lang w:val="en-GB"/>
        </w:rPr>
        <w:t>test</w:t>
      </w:r>
      <w:proofErr w:type="gramEnd"/>
      <w:r w:rsidR="002A059C">
        <w:rPr>
          <w:rFonts w:ascii="Helvetica"/>
          <w:sz w:val="20"/>
          <w:szCs w:val="20"/>
          <w:lang w:val="en-GB"/>
        </w:rPr>
        <w:t>. However, it remains unclear whether there is any correspondence between aerobic degradation in 308 and 309 systems.</w:t>
      </w:r>
    </w:p>
    <w:p w14:paraId="08F07E0C" w14:textId="77777777" w:rsidR="009B131E" w:rsidRPr="00EA531C" w:rsidRDefault="009B131E">
      <w:pPr>
        <w:jc w:val="both"/>
        <w:rPr>
          <w:rFonts w:ascii="Helvetica" w:eastAsia="Helvetica" w:hAnsi="Helvetica" w:cs="Helvetica"/>
          <w:sz w:val="20"/>
          <w:szCs w:val="20"/>
          <w:lang w:val="en-GB"/>
        </w:rPr>
      </w:pPr>
    </w:p>
    <w:p w14:paraId="0D204EFB" w14:textId="6F8BEEEA" w:rsidR="009B131E" w:rsidRPr="00EA531C" w:rsidRDefault="007E732E">
      <w:pPr>
        <w:jc w:val="both"/>
        <w:rPr>
          <w:rFonts w:ascii="Helvetica" w:eastAsia="Helvetica" w:hAnsi="Helvetica" w:cs="Helvetica"/>
          <w:sz w:val="20"/>
          <w:szCs w:val="20"/>
          <w:lang w:val="en-GB"/>
        </w:rPr>
      </w:pPr>
      <w:r>
        <w:rPr>
          <w:rFonts w:ascii="Helvetica"/>
          <w:sz w:val="20"/>
          <w:szCs w:val="20"/>
          <w:lang w:val="en-GB"/>
        </w:rPr>
        <w:t>The two aims of our study</w:t>
      </w:r>
      <w:r w:rsidR="002A059C">
        <w:rPr>
          <w:rFonts w:ascii="Helvetica"/>
          <w:sz w:val="20"/>
          <w:szCs w:val="20"/>
          <w:lang w:val="en-GB"/>
        </w:rPr>
        <w:t xml:space="preserve"> therefore</w:t>
      </w:r>
      <w:r w:rsidR="00EA531C" w:rsidRPr="00EA531C">
        <w:rPr>
          <w:rFonts w:ascii="Helvetica"/>
          <w:sz w:val="20"/>
          <w:szCs w:val="20"/>
          <w:lang w:val="en-GB"/>
        </w:rPr>
        <w:t xml:space="preserve"> </w:t>
      </w:r>
      <w:r>
        <w:rPr>
          <w:rFonts w:ascii="Helvetica"/>
          <w:sz w:val="20"/>
          <w:szCs w:val="20"/>
          <w:lang w:val="en-GB"/>
        </w:rPr>
        <w:t>were</w:t>
      </w:r>
      <w:r w:rsidR="00EA531C" w:rsidRPr="00EA531C">
        <w:rPr>
          <w:rFonts w:ascii="Helvetica"/>
          <w:sz w:val="20"/>
          <w:szCs w:val="20"/>
          <w:lang w:val="en-GB"/>
        </w:rPr>
        <w:t>: (</w:t>
      </w:r>
      <w:proofErr w:type="spellStart"/>
      <w:r w:rsidR="00EA531C" w:rsidRPr="00EA531C">
        <w:rPr>
          <w:rFonts w:ascii="Helvetica"/>
          <w:sz w:val="20"/>
          <w:szCs w:val="20"/>
          <w:lang w:val="en-GB"/>
        </w:rPr>
        <w:t>i</w:t>
      </w:r>
      <w:proofErr w:type="spellEnd"/>
      <w:r w:rsidR="00EA531C" w:rsidRPr="00EA531C">
        <w:rPr>
          <w:rFonts w:ascii="Helvetica"/>
          <w:sz w:val="20"/>
          <w:szCs w:val="20"/>
          <w:lang w:val="en-GB"/>
        </w:rPr>
        <w:t>) to find a way to extract transformation rates that are universally valid across different experimental systems and hence more representative of the compound</w:t>
      </w:r>
      <w:r w:rsidR="00EA531C" w:rsidRPr="00EA531C">
        <w:rPr>
          <w:rFonts w:hAnsi="Helvetica"/>
          <w:sz w:val="20"/>
          <w:szCs w:val="20"/>
          <w:lang w:val="en-GB"/>
        </w:rPr>
        <w:t>’</w:t>
      </w:r>
      <w:r w:rsidR="00EA531C" w:rsidRPr="00EA531C">
        <w:rPr>
          <w:rFonts w:ascii="Helvetica"/>
          <w:sz w:val="20"/>
          <w:szCs w:val="20"/>
          <w:lang w:val="en-GB"/>
        </w:rPr>
        <w:t>s behaviour in the environment</w:t>
      </w:r>
      <w:r>
        <w:rPr>
          <w:rFonts w:ascii="Helvetica"/>
          <w:sz w:val="20"/>
          <w:szCs w:val="20"/>
          <w:lang w:val="en-GB"/>
        </w:rPr>
        <w:t>, and</w:t>
      </w:r>
      <w:r w:rsidR="00EA531C" w:rsidRPr="00EA531C">
        <w:rPr>
          <w:rFonts w:ascii="Helvetica"/>
          <w:sz w:val="20"/>
          <w:szCs w:val="20"/>
          <w:lang w:val="en-GB"/>
        </w:rPr>
        <w:t xml:space="preserve"> (ii) </w:t>
      </w:r>
      <w:r>
        <w:rPr>
          <w:rFonts w:ascii="Helvetica"/>
          <w:sz w:val="20"/>
          <w:szCs w:val="20"/>
          <w:lang w:val="en-GB"/>
        </w:rPr>
        <w:t xml:space="preserve">to </w:t>
      </w:r>
      <w:r w:rsidR="00EA531C" w:rsidRPr="00EA531C">
        <w:rPr>
          <w:rFonts w:ascii="Helvetica"/>
          <w:sz w:val="20"/>
          <w:szCs w:val="20"/>
          <w:lang w:val="en-GB"/>
        </w:rPr>
        <w:t xml:space="preserve">analyse the potential of simpler experiments (as 309) to predict the </w:t>
      </w:r>
      <w:r w:rsidR="00536388">
        <w:rPr>
          <w:rFonts w:ascii="Helvetica"/>
          <w:sz w:val="20"/>
          <w:szCs w:val="20"/>
          <w:lang w:val="en-GB"/>
        </w:rPr>
        <w:t>transformation rates</w:t>
      </w:r>
      <w:r w:rsidR="00536388" w:rsidRPr="00EA531C">
        <w:rPr>
          <w:rFonts w:ascii="Helvetica"/>
          <w:sz w:val="20"/>
          <w:szCs w:val="20"/>
          <w:lang w:val="en-GB"/>
        </w:rPr>
        <w:t xml:space="preserve"> </w:t>
      </w:r>
      <w:r w:rsidR="00536388">
        <w:rPr>
          <w:rFonts w:ascii="Helvetica"/>
          <w:sz w:val="20"/>
          <w:szCs w:val="20"/>
          <w:lang w:val="en-GB"/>
        </w:rPr>
        <w:t>of</w:t>
      </w:r>
      <w:r w:rsidR="00EA531C" w:rsidRPr="00EA531C">
        <w:rPr>
          <w:rFonts w:ascii="Helvetica"/>
          <w:sz w:val="20"/>
          <w:szCs w:val="20"/>
          <w:lang w:val="en-GB"/>
        </w:rPr>
        <w:t xml:space="preserve"> more complicated ones (308) by finding </w:t>
      </w:r>
      <w:r>
        <w:rPr>
          <w:rFonts w:ascii="Helvetica"/>
          <w:sz w:val="20"/>
          <w:szCs w:val="20"/>
          <w:lang w:val="en-GB"/>
        </w:rPr>
        <w:t>a</w:t>
      </w:r>
      <w:r w:rsidR="00EA531C" w:rsidRPr="00EA531C">
        <w:rPr>
          <w:rFonts w:ascii="Helvetica"/>
          <w:sz w:val="20"/>
          <w:szCs w:val="20"/>
          <w:lang w:val="en-GB"/>
        </w:rPr>
        <w:t xml:space="preserve"> common denominator between experimental systems.</w:t>
      </w:r>
    </w:p>
    <w:p w14:paraId="2B82A4A3" w14:textId="77777777" w:rsidR="009B131E" w:rsidRPr="00EA531C" w:rsidRDefault="009B131E">
      <w:pPr>
        <w:jc w:val="both"/>
        <w:rPr>
          <w:rFonts w:ascii="Helvetica" w:eastAsia="Helvetica" w:hAnsi="Helvetica" w:cs="Helvetica"/>
          <w:sz w:val="20"/>
          <w:szCs w:val="20"/>
          <w:lang w:val="en-GB"/>
        </w:rPr>
      </w:pPr>
    </w:p>
    <w:p w14:paraId="4DF2D68F" w14:textId="6394EF0B" w:rsidR="009B131E" w:rsidRDefault="00EA531C">
      <w:pPr>
        <w:jc w:val="both"/>
        <w:rPr>
          <w:rFonts w:ascii="Helvetica"/>
          <w:sz w:val="20"/>
          <w:szCs w:val="20"/>
          <w:lang w:val="en-GB"/>
        </w:rPr>
      </w:pPr>
      <w:r w:rsidRPr="00EA531C">
        <w:rPr>
          <w:rFonts w:ascii="Helvetica"/>
          <w:sz w:val="20"/>
          <w:szCs w:val="20"/>
          <w:lang w:val="en-GB"/>
        </w:rPr>
        <w:t xml:space="preserve">We performed 4 different </w:t>
      </w:r>
      <w:r w:rsidR="00735392">
        <w:rPr>
          <w:rFonts w:ascii="Helvetica"/>
          <w:sz w:val="20"/>
          <w:szCs w:val="20"/>
          <w:lang w:val="en-GB"/>
        </w:rPr>
        <w:t xml:space="preserve">types of </w:t>
      </w:r>
      <w:r w:rsidRPr="00EA531C">
        <w:rPr>
          <w:rFonts w:ascii="Helvetica"/>
          <w:sz w:val="20"/>
          <w:szCs w:val="20"/>
          <w:lang w:val="en-GB"/>
        </w:rPr>
        <w:t>experiment</w:t>
      </w:r>
      <w:r w:rsidR="00735392">
        <w:rPr>
          <w:rFonts w:ascii="Helvetica"/>
          <w:sz w:val="20"/>
          <w:szCs w:val="20"/>
          <w:lang w:val="en-GB"/>
        </w:rPr>
        <w:t>s</w:t>
      </w:r>
      <w:r w:rsidRPr="00EA531C">
        <w:rPr>
          <w:rFonts w:ascii="Helvetica"/>
          <w:sz w:val="20"/>
          <w:szCs w:val="20"/>
          <w:lang w:val="en-GB"/>
        </w:rPr>
        <w:t xml:space="preserve"> for 4 compounds, covering a broad range of </w:t>
      </w:r>
      <w:proofErr w:type="spellStart"/>
      <w:r w:rsidRPr="00EA531C">
        <w:rPr>
          <w:rFonts w:ascii="Helvetica"/>
          <w:sz w:val="20"/>
          <w:szCs w:val="20"/>
          <w:lang w:val="en-GB"/>
        </w:rPr>
        <w:t>water</w:t>
      </w:r>
      <w:proofErr w:type="gramStart"/>
      <w:r w:rsidRPr="00EA531C">
        <w:rPr>
          <w:rFonts w:ascii="Helvetica"/>
          <w:sz w:val="20"/>
          <w:szCs w:val="20"/>
          <w:lang w:val="en-GB"/>
        </w:rPr>
        <w:t>:sediment</w:t>
      </w:r>
      <w:proofErr w:type="spellEnd"/>
      <w:proofErr w:type="gramEnd"/>
      <w:r w:rsidRPr="00EA531C">
        <w:rPr>
          <w:rFonts w:ascii="Helvetica"/>
          <w:sz w:val="20"/>
          <w:szCs w:val="20"/>
          <w:lang w:val="en-GB"/>
        </w:rPr>
        <w:t xml:space="preserve"> ratios (from 309 to 308) and degradability (from anilin</w:t>
      </w:r>
      <w:r w:rsidR="00BA7F5A">
        <w:rPr>
          <w:rFonts w:ascii="Helvetica"/>
          <w:sz w:val="20"/>
          <w:szCs w:val="20"/>
          <w:lang w:val="en-GB"/>
        </w:rPr>
        <w:t>e</w:t>
      </w:r>
      <w:r w:rsidRPr="00EA531C">
        <w:rPr>
          <w:rFonts w:ascii="Helvetica"/>
          <w:sz w:val="20"/>
          <w:szCs w:val="20"/>
          <w:lang w:val="en-GB"/>
        </w:rPr>
        <w:t xml:space="preserve"> to </w:t>
      </w:r>
      <w:proofErr w:type="spellStart"/>
      <w:r w:rsidRPr="00EA531C">
        <w:rPr>
          <w:rFonts w:ascii="Helvetica"/>
          <w:sz w:val="20"/>
          <w:szCs w:val="20"/>
          <w:lang w:val="en-GB"/>
        </w:rPr>
        <w:t>voriconazole</w:t>
      </w:r>
      <w:proofErr w:type="spellEnd"/>
      <w:r w:rsidRPr="00EA531C">
        <w:rPr>
          <w:rFonts w:ascii="Helvetica"/>
          <w:sz w:val="20"/>
          <w:szCs w:val="20"/>
          <w:lang w:val="en-GB"/>
        </w:rPr>
        <w:t xml:space="preserve">), for details see </w:t>
      </w:r>
      <w:r w:rsidR="00335A5D">
        <w:rPr>
          <w:rFonts w:ascii="Helvetica"/>
          <w:smallCaps/>
          <w:sz w:val="20"/>
          <w:szCs w:val="20"/>
          <w:lang w:val="en-GB"/>
        </w:rPr>
        <w:t>Junker</w:t>
      </w:r>
      <w:r w:rsidR="00335A5D" w:rsidRPr="00EA531C">
        <w:rPr>
          <w:rFonts w:ascii="Helvetica"/>
          <w:smallCaps/>
          <w:sz w:val="20"/>
          <w:szCs w:val="20"/>
          <w:lang w:val="en-GB"/>
        </w:rPr>
        <w:t xml:space="preserve"> </w:t>
      </w:r>
      <w:r w:rsidRPr="00EA531C">
        <w:rPr>
          <w:rFonts w:ascii="Helvetica"/>
          <w:smallCaps/>
          <w:sz w:val="20"/>
          <w:szCs w:val="20"/>
          <w:lang w:val="en-GB"/>
        </w:rPr>
        <w:t xml:space="preserve">et al. </w:t>
      </w:r>
      <w:r w:rsidR="00335A5D">
        <w:rPr>
          <w:rFonts w:ascii="Helvetica"/>
          <w:sz w:val="20"/>
          <w:szCs w:val="20"/>
          <w:lang w:val="en-GB"/>
        </w:rPr>
        <w:t>(submitted)</w:t>
      </w:r>
      <w:r w:rsidRPr="00EA531C">
        <w:rPr>
          <w:rFonts w:ascii="Helvetica"/>
          <w:sz w:val="20"/>
          <w:szCs w:val="20"/>
          <w:lang w:val="en-GB"/>
        </w:rPr>
        <w:t xml:space="preserve">. We developed a unified model that was able to simulate all 4 experimental types by using a </w:t>
      </w:r>
      <w:r w:rsidR="00735392">
        <w:rPr>
          <w:rFonts w:ascii="Helvetica"/>
          <w:sz w:val="20"/>
          <w:szCs w:val="20"/>
          <w:lang w:val="en-GB"/>
        </w:rPr>
        <w:t xml:space="preserve">biomass-corrected, </w:t>
      </w:r>
      <w:r w:rsidRPr="00EA531C">
        <w:rPr>
          <w:rFonts w:ascii="Helvetica"/>
          <w:sz w:val="20"/>
          <w:szCs w:val="20"/>
          <w:lang w:val="en-GB"/>
        </w:rPr>
        <w:t xml:space="preserve">generalised </w:t>
      </w:r>
      <w:r w:rsidR="00735392">
        <w:rPr>
          <w:rFonts w:ascii="Helvetica"/>
          <w:sz w:val="20"/>
          <w:szCs w:val="20"/>
          <w:lang w:val="en-GB"/>
        </w:rPr>
        <w:t>bio</w:t>
      </w:r>
      <w:r w:rsidRPr="00EA531C">
        <w:rPr>
          <w:rFonts w:ascii="Helvetica"/>
          <w:sz w:val="20"/>
          <w:szCs w:val="20"/>
          <w:lang w:val="en-GB"/>
        </w:rPr>
        <w:t>transformation parameter (</w:t>
      </w:r>
      <w:proofErr w:type="spellStart"/>
      <w:r w:rsidRPr="00EA531C">
        <w:rPr>
          <w:rFonts w:ascii="Helvetica"/>
          <w:sz w:val="20"/>
          <w:szCs w:val="20"/>
          <w:lang w:val="en-GB"/>
        </w:rPr>
        <w:t>k</w:t>
      </w:r>
      <w:r w:rsidRPr="00EA531C">
        <w:rPr>
          <w:rFonts w:ascii="Helvetica"/>
          <w:sz w:val="20"/>
          <w:szCs w:val="20"/>
          <w:vertAlign w:val="subscript"/>
          <w:lang w:val="en-GB"/>
        </w:rPr>
        <w:t>bio</w:t>
      </w:r>
      <w:proofErr w:type="spellEnd"/>
      <w:r w:rsidRPr="00EA531C">
        <w:rPr>
          <w:rFonts w:ascii="Helvetica"/>
          <w:sz w:val="20"/>
          <w:szCs w:val="20"/>
          <w:lang w:val="en-GB"/>
        </w:rPr>
        <w:t>) and specialised description</w:t>
      </w:r>
      <w:r w:rsidR="00735392">
        <w:rPr>
          <w:rFonts w:ascii="Helvetica"/>
          <w:sz w:val="20"/>
          <w:szCs w:val="20"/>
          <w:lang w:val="en-GB"/>
        </w:rPr>
        <w:t>s</w:t>
      </w:r>
      <w:r w:rsidRPr="00EA531C">
        <w:rPr>
          <w:rFonts w:ascii="Helvetica"/>
          <w:sz w:val="20"/>
          <w:szCs w:val="20"/>
          <w:lang w:val="en-GB"/>
        </w:rPr>
        <w:t xml:space="preserve"> of the different physical conditions in the 308 and 309 family of systems. We used a Bayesian calibration and uncertainty assessment framework to calibrate the model</w:t>
      </w:r>
      <w:r w:rsidR="00735392">
        <w:rPr>
          <w:rFonts w:ascii="Helvetica"/>
          <w:sz w:val="20"/>
          <w:szCs w:val="20"/>
          <w:lang w:val="en-GB"/>
        </w:rPr>
        <w:t>s</w:t>
      </w:r>
      <w:r w:rsidRPr="00EA531C">
        <w:rPr>
          <w:rFonts w:ascii="Helvetica"/>
          <w:sz w:val="20"/>
          <w:szCs w:val="20"/>
          <w:lang w:val="en-GB"/>
        </w:rPr>
        <w:t xml:space="preserve"> for individual experimental types separately and </w:t>
      </w:r>
      <w:r w:rsidR="00735392">
        <w:rPr>
          <w:rFonts w:ascii="Helvetica"/>
          <w:sz w:val="20"/>
          <w:szCs w:val="20"/>
          <w:lang w:val="en-GB"/>
        </w:rPr>
        <w:t xml:space="preserve">across </w:t>
      </w:r>
      <w:r w:rsidRPr="00EA531C">
        <w:rPr>
          <w:rFonts w:ascii="Helvetica"/>
          <w:sz w:val="20"/>
          <w:szCs w:val="20"/>
          <w:lang w:val="en-GB"/>
        </w:rPr>
        <w:t>all 4 experimental setups at once. It was</w:t>
      </w:r>
      <w:bookmarkStart w:id="0" w:name="_GoBack"/>
      <w:bookmarkEnd w:id="0"/>
      <w:r w:rsidRPr="00EA531C">
        <w:rPr>
          <w:rFonts w:ascii="Helvetica"/>
          <w:sz w:val="20"/>
          <w:szCs w:val="20"/>
          <w:lang w:val="en-GB"/>
        </w:rPr>
        <w:t xml:space="preserve"> possible to attain a good fit to the data in both setups and </w:t>
      </w:r>
      <w:proofErr w:type="spellStart"/>
      <w:r w:rsidRPr="00EA531C">
        <w:rPr>
          <w:rFonts w:ascii="Helvetica"/>
          <w:sz w:val="20"/>
          <w:szCs w:val="20"/>
          <w:lang w:val="en-GB"/>
        </w:rPr>
        <w:t>k</w:t>
      </w:r>
      <w:r w:rsidRPr="00EA531C">
        <w:rPr>
          <w:rFonts w:ascii="Helvetica"/>
          <w:sz w:val="20"/>
          <w:szCs w:val="20"/>
          <w:vertAlign w:val="subscript"/>
          <w:lang w:val="en-GB"/>
        </w:rPr>
        <w:t>bio</w:t>
      </w:r>
      <w:proofErr w:type="spellEnd"/>
      <w:r w:rsidRPr="00EA531C">
        <w:rPr>
          <w:rFonts w:ascii="Helvetica"/>
          <w:sz w:val="20"/>
          <w:szCs w:val="20"/>
          <w:lang w:val="en-GB"/>
        </w:rPr>
        <w:t xml:space="preserve"> turned </w:t>
      </w:r>
      <w:r w:rsidR="00735392">
        <w:rPr>
          <w:rFonts w:ascii="Helvetica"/>
          <w:sz w:val="20"/>
          <w:szCs w:val="20"/>
          <w:lang w:val="en-GB"/>
        </w:rPr>
        <w:t xml:space="preserve">out </w:t>
      </w:r>
      <w:r w:rsidRPr="00EA531C">
        <w:rPr>
          <w:rFonts w:ascii="Helvetica"/>
          <w:sz w:val="20"/>
          <w:szCs w:val="20"/>
          <w:lang w:val="en-GB"/>
        </w:rPr>
        <w:t xml:space="preserve">to be quite robust </w:t>
      </w:r>
      <w:r w:rsidR="00735392">
        <w:rPr>
          <w:rFonts w:ascii="Helvetica"/>
          <w:sz w:val="20"/>
          <w:szCs w:val="20"/>
          <w:lang w:val="en-GB"/>
        </w:rPr>
        <w:t xml:space="preserve">across systems </w:t>
      </w:r>
      <w:r w:rsidRPr="00EA531C">
        <w:rPr>
          <w:rFonts w:ascii="Helvetica"/>
          <w:sz w:val="20"/>
          <w:szCs w:val="20"/>
          <w:lang w:val="en-GB"/>
        </w:rPr>
        <w:t xml:space="preserve">when certain additional assumptions were made. However, the uncertainty of </w:t>
      </w:r>
      <w:proofErr w:type="spellStart"/>
      <w:r w:rsidRPr="00EA531C">
        <w:rPr>
          <w:rFonts w:ascii="Helvetica"/>
          <w:sz w:val="20"/>
          <w:szCs w:val="20"/>
          <w:lang w:val="en-GB"/>
        </w:rPr>
        <w:t>k</w:t>
      </w:r>
      <w:r w:rsidRPr="00EA531C">
        <w:rPr>
          <w:rFonts w:ascii="Helvetica"/>
          <w:sz w:val="20"/>
          <w:szCs w:val="20"/>
          <w:vertAlign w:val="subscript"/>
          <w:lang w:val="en-GB"/>
        </w:rPr>
        <w:t>bio</w:t>
      </w:r>
      <w:proofErr w:type="spellEnd"/>
      <w:r w:rsidRPr="00EA531C">
        <w:rPr>
          <w:rFonts w:ascii="Helvetica"/>
          <w:sz w:val="20"/>
          <w:szCs w:val="20"/>
          <w:lang w:val="en-GB"/>
        </w:rPr>
        <w:t xml:space="preserve"> remained significant and therefore predictions from one experimental type to another </w:t>
      </w:r>
      <w:r w:rsidR="00735392">
        <w:rPr>
          <w:rFonts w:ascii="Helvetica"/>
          <w:sz w:val="20"/>
          <w:szCs w:val="20"/>
          <w:lang w:val="en-GB"/>
        </w:rPr>
        <w:t>remained</w:t>
      </w:r>
      <w:r w:rsidR="00735392" w:rsidRPr="00EA531C">
        <w:rPr>
          <w:rFonts w:ascii="Helvetica"/>
          <w:sz w:val="20"/>
          <w:szCs w:val="20"/>
          <w:lang w:val="en-GB"/>
        </w:rPr>
        <w:t xml:space="preserve"> </w:t>
      </w:r>
      <w:r w:rsidRPr="00EA531C">
        <w:rPr>
          <w:rFonts w:ascii="Helvetica"/>
          <w:sz w:val="20"/>
          <w:szCs w:val="20"/>
          <w:lang w:val="en-GB"/>
        </w:rPr>
        <w:t>very uncertain as well.</w:t>
      </w:r>
    </w:p>
    <w:p w14:paraId="02C48D3D" w14:textId="77777777" w:rsidR="005B02EA" w:rsidRDefault="005B02EA">
      <w:pPr>
        <w:jc w:val="both"/>
        <w:rPr>
          <w:rFonts w:ascii="Helvetica"/>
          <w:sz w:val="20"/>
          <w:szCs w:val="20"/>
          <w:lang w:val="en-GB"/>
        </w:rPr>
      </w:pPr>
    </w:p>
    <w:p w14:paraId="33379F4F" w14:textId="32573A51" w:rsidR="00F41DDA" w:rsidRPr="00DD40E9" w:rsidRDefault="00F41DDA">
      <w:pPr>
        <w:jc w:val="both"/>
        <w:rPr>
          <w:rFonts w:ascii="Helvetica" w:hAnsi="Helvetica"/>
          <w:smallCaps/>
          <w:sz w:val="20"/>
          <w:szCs w:val="20"/>
          <w:lang w:val="en-GB"/>
        </w:rPr>
      </w:pPr>
      <w:r w:rsidRPr="00DD40E9">
        <w:rPr>
          <w:rFonts w:ascii="Helvetica" w:hAnsi="Helvetica"/>
          <w:smallCaps/>
          <w:sz w:val="20"/>
          <w:szCs w:val="20"/>
          <w:lang w:val="en-GB"/>
        </w:rPr>
        <w:t>R</w:t>
      </w:r>
      <w:r w:rsidR="00D952CE">
        <w:rPr>
          <w:rFonts w:ascii="Helvetica" w:hAnsi="Helvetica"/>
          <w:smallCaps/>
          <w:sz w:val="20"/>
          <w:szCs w:val="20"/>
          <w:lang w:val="en-GB"/>
        </w:rPr>
        <w:t>eferences</w:t>
      </w:r>
      <w:r w:rsidRPr="00DD40E9">
        <w:rPr>
          <w:rFonts w:ascii="Helvetica" w:hAnsi="Helvetica"/>
          <w:smallCaps/>
          <w:sz w:val="20"/>
          <w:szCs w:val="20"/>
          <w:lang w:val="en-GB"/>
        </w:rPr>
        <w:t xml:space="preserve"> </w:t>
      </w:r>
    </w:p>
    <w:p w14:paraId="77E76CDE" w14:textId="77777777" w:rsidR="00F41DDA" w:rsidRDefault="00F41DDA">
      <w:pPr>
        <w:jc w:val="both"/>
        <w:rPr>
          <w:rFonts w:ascii="Helvetica"/>
          <w:sz w:val="20"/>
          <w:szCs w:val="20"/>
          <w:lang w:val="en-GB"/>
        </w:rPr>
      </w:pPr>
    </w:p>
    <w:p w14:paraId="0FEEBC6E" w14:textId="091B8B8F" w:rsidR="00335A5D" w:rsidRDefault="00335A5D" w:rsidP="00335A5D">
      <w:pPr>
        <w:ind w:left="567" w:hanging="567"/>
        <w:rPr>
          <w:rFonts w:ascii="Helvetica" w:eastAsia="Helvetica" w:hAnsi="Helvetica" w:cs="Helvetica"/>
          <w:sz w:val="20"/>
          <w:szCs w:val="20"/>
          <w:lang w:val="en-US"/>
        </w:rPr>
      </w:pPr>
      <w:r w:rsidRPr="00335A5D">
        <w:rPr>
          <w:rFonts w:ascii="Helvetica" w:eastAsia="Helvetica" w:hAnsi="Helvetica" w:cs="Helvetica"/>
          <w:sz w:val="20"/>
          <w:szCs w:val="20"/>
        </w:rPr>
        <w:t>Junker</w:t>
      </w:r>
      <w:r>
        <w:rPr>
          <w:rFonts w:ascii="Helvetica" w:eastAsia="Helvetica" w:hAnsi="Helvetica" w:cs="Helvetica"/>
          <w:sz w:val="20"/>
          <w:szCs w:val="20"/>
        </w:rPr>
        <w:t>,</w:t>
      </w:r>
      <w:r w:rsidRPr="00335A5D">
        <w:rPr>
          <w:rFonts w:ascii="Helvetica" w:eastAsia="Helvetica" w:hAnsi="Helvetica" w:cs="Helvetica"/>
          <w:sz w:val="20"/>
          <w:szCs w:val="20"/>
        </w:rPr>
        <w:t xml:space="preserve"> </w:t>
      </w:r>
      <w:proofErr w:type="spellStart"/>
      <w:r w:rsidRPr="00335A5D">
        <w:rPr>
          <w:rFonts w:ascii="Helvetica" w:eastAsia="Helvetica" w:hAnsi="Helvetica" w:cs="Helvetica"/>
          <w:sz w:val="20"/>
          <w:szCs w:val="20"/>
        </w:rPr>
        <w:t>Hennecke</w:t>
      </w:r>
      <w:proofErr w:type="spellEnd"/>
      <w:r>
        <w:rPr>
          <w:rFonts w:ascii="Helvetica" w:eastAsia="Helvetica" w:hAnsi="Helvetica" w:cs="Helvetica"/>
          <w:sz w:val="20"/>
          <w:szCs w:val="20"/>
        </w:rPr>
        <w:t>,</w:t>
      </w:r>
      <w:r w:rsidRPr="00335A5D">
        <w:rPr>
          <w:rFonts w:ascii="Helvetica" w:eastAsia="Helvetica" w:hAnsi="Helvetica" w:cs="Helvetica"/>
          <w:sz w:val="20"/>
          <w:szCs w:val="20"/>
        </w:rPr>
        <w:t xml:space="preserve"> </w:t>
      </w:r>
      <w:proofErr w:type="spellStart"/>
      <w:r w:rsidRPr="00DD40E9">
        <w:rPr>
          <w:rFonts w:ascii="Helvetica" w:eastAsia="Helvetica" w:hAnsi="Helvetica" w:cs="Helvetica"/>
          <w:sz w:val="20"/>
          <w:szCs w:val="20"/>
        </w:rPr>
        <w:t>Shrestha</w:t>
      </w:r>
      <w:proofErr w:type="spellEnd"/>
      <w:r w:rsidRPr="00335A5D">
        <w:rPr>
          <w:rFonts w:ascii="Helvetica" w:eastAsia="Helvetica" w:hAnsi="Helvetica" w:cs="Helvetica"/>
          <w:sz w:val="20"/>
          <w:szCs w:val="20"/>
        </w:rPr>
        <w:t>,</w:t>
      </w:r>
      <w:r>
        <w:rPr>
          <w:rFonts w:ascii="Helvetica" w:eastAsia="Helvetica" w:hAnsi="Helvetica" w:cs="Helvetica"/>
          <w:sz w:val="20"/>
          <w:szCs w:val="20"/>
        </w:rPr>
        <w:t xml:space="preserve"> </w:t>
      </w:r>
      <w:r w:rsidRPr="00335A5D">
        <w:rPr>
          <w:rFonts w:ascii="Helvetica" w:eastAsia="Helvetica" w:hAnsi="Helvetica" w:cs="Helvetica"/>
          <w:sz w:val="20"/>
          <w:szCs w:val="20"/>
        </w:rPr>
        <w:t>Fenner</w:t>
      </w:r>
      <w:r>
        <w:rPr>
          <w:rFonts w:ascii="Helvetica" w:eastAsia="Helvetica" w:hAnsi="Helvetica" w:cs="Helvetica"/>
          <w:sz w:val="20"/>
          <w:szCs w:val="20"/>
        </w:rPr>
        <w:t>,</w:t>
      </w:r>
      <w:r w:rsidRPr="00335A5D">
        <w:rPr>
          <w:rFonts w:ascii="Helvetica" w:eastAsia="Helvetica" w:hAnsi="Helvetica" w:cs="Helvetica"/>
          <w:sz w:val="20"/>
          <w:szCs w:val="20"/>
        </w:rPr>
        <w:t xml:space="preserve"> </w:t>
      </w:r>
      <w:proofErr w:type="spellStart"/>
      <w:r w:rsidRPr="00335A5D">
        <w:rPr>
          <w:rFonts w:ascii="Helvetica" w:eastAsia="Helvetica" w:hAnsi="Helvetica" w:cs="Helvetica"/>
          <w:sz w:val="20"/>
          <w:szCs w:val="20"/>
        </w:rPr>
        <w:t>Honti</w:t>
      </w:r>
      <w:proofErr w:type="spellEnd"/>
      <w:r>
        <w:rPr>
          <w:rFonts w:ascii="Helvetica" w:eastAsia="Helvetica" w:hAnsi="Helvetica" w:cs="Helvetica"/>
          <w:sz w:val="20"/>
          <w:szCs w:val="20"/>
          <w:vertAlign w:val="superscript"/>
        </w:rPr>
        <w:t xml:space="preserve"> </w:t>
      </w:r>
      <w:r>
        <w:rPr>
          <w:rFonts w:ascii="Helvetica" w:eastAsia="Helvetica" w:hAnsi="Helvetica" w:cs="Helvetica"/>
          <w:sz w:val="20"/>
          <w:szCs w:val="20"/>
        </w:rPr>
        <w:t>(</w:t>
      </w:r>
      <w:proofErr w:type="spellStart"/>
      <w:r>
        <w:rPr>
          <w:rFonts w:ascii="Helvetica" w:eastAsia="Helvetica" w:hAnsi="Helvetica" w:cs="Helvetica"/>
          <w:sz w:val="20"/>
          <w:szCs w:val="20"/>
        </w:rPr>
        <w:t>submitted</w:t>
      </w:r>
      <w:proofErr w:type="spellEnd"/>
      <w:r>
        <w:rPr>
          <w:rFonts w:ascii="Helvetica" w:eastAsia="Helvetica" w:hAnsi="Helvetica" w:cs="Helvetica"/>
          <w:sz w:val="20"/>
          <w:szCs w:val="20"/>
        </w:rPr>
        <w:t xml:space="preserve"> </w:t>
      </w:r>
      <w:proofErr w:type="spellStart"/>
      <w:r>
        <w:rPr>
          <w:rFonts w:ascii="Helvetica" w:eastAsia="Helvetica" w:hAnsi="Helvetica" w:cs="Helvetica"/>
          <w:sz w:val="20"/>
          <w:szCs w:val="20"/>
        </w:rPr>
        <w:t>to</w:t>
      </w:r>
      <w:proofErr w:type="spellEnd"/>
      <w:r>
        <w:rPr>
          <w:rFonts w:ascii="Helvetica" w:eastAsia="Helvetica" w:hAnsi="Helvetica" w:cs="Helvetica"/>
          <w:sz w:val="20"/>
          <w:szCs w:val="20"/>
        </w:rPr>
        <w:t xml:space="preserve"> ICCE2015)</w:t>
      </w:r>
      <w:r w:rsidRPr="00335A5D">
        <w:rPr>
          <w:rFonts w:ascii="Helvetica" w:eastAsia="Helvetica" w:hAnsi="Helvetica" w:cs="Helvetica"/>
          <w:sz w:val="20"/>
          <w:szCs w:val="20"/>
        </w:rPr>
        <w:t xml:space="preserve"> </w:t>
      </w:r>
      <w:r w:rsidRPr="00DD40E9">
        <w:rPr>
          <w:rFonts w:ascii="Helvetica" w:eastAsia="Helvetica" w:hAnsi="Helvetica" w:cs="Helvetica"/>
          <w:sz w:val="20"/>
          <w:szCs w:val="20"/>
          <w:lang w:val="en-US"/>
        </w:rPr>
        <w:t xml:space="preserve">Improvement strategies for the assessment of chemical persistence </w:t>
      </w:r>
      <w:r>
        <w:rPr>
          <w:rFonts w:ascii="Helvetica" w:eastAsia="Helvetica" w:hAnsi="Helvetica" w:cs="Helvetica"/>
          <w:sz w:val="20"/>
          <w:szCs w:val="20"/>
          <w:lang w:val="en-US"/>
        </w:rPr>
        <w:t>at the water-sediment interface–</w:t>
      </w:r>
      <w:r w:rsidRPr="00DD40E9">
        <w:rPr>
          <w:rFonts w:ascii="Helvetica" w:eastAsia="Helvetica" w:hAnsi="Helvetica" w:cs="Helvetica"/>
          <w:sz w:val="20"/>
          <w:szCs w:val="20"/>
          <w:lang w:val="en-US"/>
        </w:rPr>
        <w:t>experimental approach</w:t>
      </w:r>
    </w:p>
    <w:p w14:paraId="59CC62CA" w14:textId="77777777" w:rsidR="005168E6" w:rsidRPr="00DD40E9" w:rsidRDefault="005168E6" w:rsidP="00335A5D">
      <w:pPr>
        <w:ind w:left="567" w:hanging="567"/>
        <w:rPr>
          <w:rFonts w:ascii="Helvetica" w:eastAsia="Helvetica" w:hAnsi="Helvetica" w:cs="Helvetica"/>
          <w:sz w:val="20"/>
          <w:szCs w:val="20"/>
          <w:lang w:val="en-US"/>
        </w:rPr>
      </w:pPr>
    </w:p>
    <w:p w14:paraId="24CC2CDC" w14:textId="01F163A4" w:rsidR="009B131E" w:rsidRDefault="00335A5D" w:rsidP="00DD40E9">
      <w:pPr>
        <w:ind w:left="567" w:hanging="567"/>
        <w:jc w:val="both"/>
      </w:pPr>
      <w:proofErr w:type="spellStart"/>
      <w:r>
        <w:rPr>
          <w:rFonts w:ascii="Helvetica" w:eastAsia="Helvetica" w:hAnsi="Helvetica" w:cs="Helvetica"/>
          <w:sz w:val="20"/>
          <w:szCs w:val="20"/>
          <w:lang w:val="en-GB"/>
        </w:rPr>
        <w:t>Honti</w:t>
      </w:r>
      <w:proofErr w:type="spellEnd"/>
      <w:r>
        <w:rPr>
          <w:rFonts w:ascii="Helvetica" w:eastAsia="Helvetica" w:hAnsi="Helvetica" w:cs="Helvetica"/>
          <w:sz w:val="20"/>
          <w:szCs w:val="20"/>
          <w:lang w:val="en-GB"/>
        </w:rPr>
        <w:t xml:space="preserve">, </w:t>
      </w:r>
      <w:proofErr w:type="spellStart"/>
      <w:r w:rsidR="00F41DDA">
        <w:rPr>
          <w:rFonts w:ascii="Helvetica" w:eastAsia="Helvetica" w:hAnsi="Helvetica" w:cs="Helvetica"/>
          <w:sz w:val="20"/>
          <w:szCs w:val="20"/>
          <w:lang w:val="en-GB"/>
        </w:rPr>
        <w:t>Fenner</w:t>
      </w:r>
      <w:proofErr w:type="spellEnd"/>
      <w:r w:rsidR="00F41DDA">
        <w:rPr>
          <w:rFonts w:ascii="Helvetica" w:eastAsia="Helvetica" w:hAnsi="Helvetica" w:cs="Helvetica"/>
          <w:sz w:val="20"/>
          <w:szCs w:val="20"/>
          <w:lang w:val="en-GB"/>
        </w:rPr>
        <w:t xml:space="preserve"> (</w:t>
      </w:r>
      <w:r w:rsidR="00C1079D">
        <w:rPr>
          <w:rFonts w:ascii="Helvetica" w:eastAsia="Helvetica" w:hAnsi="Helvetica" w:cs="Helvetica"/>
          <w:sz w:val="20"/>
          <w:szCs w:val="20"/>
          <w:lang w:val="en-GB"/>
        </w:rPr>
        <w:t>2015</w:t>
      </w:r>
      <w:r w:rsidR="00F41DDA">
        <w:rPr>
          <w:rFonts w:ascii="Helvetica" w:eastAsia="Helvetica" w:hAnsi="Helvetica" w:cs="Helvetica"/>
          <w:sz w:val="20"/>
          <w:szCs w:val="20"/>
          <w:lang w:val="en-GB"/>
        </w:rPr>
        <w:t xml:space="preserve">) </w:t>
      </w:r>
      <w:r w:rsidR="00D952CE" w:rsidRPr="00D952CE">
        <w:rPr>
          <w:rFonts w:ascii="Helvetica" w:eastAsia="Helvetica" w:hAnsi="Helvetica" w:cs="Helvetica"/>
          <w:sz w:val="20"/>
          <w:szCs w:val="20"/>
          <w:lang w:val="en-US"/>
        </w:rPr>
        <w:t>Deriving persistence indicators from regulatory water-sediment studies</w:t>
      </w:r>
      <w:r w:rsidR="00D952CE">
        <w:rPr>
          <w:rFonts w:ascii="Helvetica" w:eastAsia="Helvetica" w:hAnsi="Helvetica" w:cs="Helvetica"/>
          <w:sz w:val="20"/>
          <w:szCs w:val="20"/>
          <w:lang w:val="en-US"/>
        </w:rPr>
        <w:t xml:space="preserve">: </w:t>
      </w:r>
      <w:r w:rsidR="00D952CE" w:rsidRPr="00D952CE">
        <w:rPr>
          <w:rFonts w:ascii="Helvetica" w:eastAsia="Helvetica" w:hAnsi="Helvetica" w:cs="Helvetica"/>
          <w:sz w:val="20"/>
          <w:szCs w:val="20"/>
          <w:lang w:val="en-US"/>
        </w:rPr>
        <w:t>Opportunities and limitations in OECD 308 data</w:t>
      </w:r>
      <w:r w:rsidR="00D952CE">
        <w:rPr>
          <w:rFonts w:ascii="Helvetica" w:eastAsia="Helvetica" w:hAnsi="Helvetica" w:cs="Helvetica"/>
          <w:sz w:val="20"/>
          <w:szCs w:val="20"/>
          <w:lang w:val="en-US"/>
        </w:rPr>
        <w:t xml:space="preserve">. </w:t>
      </w:r>
      <w:r w:rsidR="00D952CE" w:rsidRPr="00DD40E9">
        <w:rPr>
          <w:rFonts w:ascii="Helvetica" w:eastAsia="Helvetica" w:hAnsi="Helvetica" w:cs="Helvetica"/>
          <w:i/>
          <w:sz w:val="20"/>
          <w:szCs w:val="20"/>
          <w:lang w:val="en-US"/>
        </w:rPr>
        <w:t>ES</w:t>
      </w:r>
      <w:r w:rsidR="00CC588B">
        <w:rPr>
          <w:rFonts w:ascii="Helvetica" w:eastAsia="Helvetica" w:hAnsi="Helvetica" w:cs="Helvetica"/>
          <w:i/>
          <w:sz w:val="20"/>
          <w:szCs w:val="20"/>
          <w:lang w:val="en-US"/>
        </w:rPr>
        <w:t>&amp;</w:t>
      </w:r>
      <w:r w:rsidR="00D952CE" w:rsidRPr="00DD40E9">
        <w:rPr>
          <w:rFonts w:ascii="Helvetica" w:eastAsia="Helvetica" w:hAnsi="Helvetica" w:cs="Helvetica"/>
          <w:i/>
          <w:sz w:val="20"/>
          <w:szCs w:val="20"/>
          <w:lang w:val="en-US"/>
        </w:rPr>
        <w:t>T</w:t>
      </w:r>
      <w:r w:rsidR="00D952CE">
        <w:rPr>
          <w:rFonts w:ascii="Helvetica" w:eastAsia="Helvetica" w:hAnsi="Helvetica" w:cs="Helvetica"/>
          <w:sz w:val="20"/>
          <w:szCs w:val="20"/>
          <w:lang w:val="en-US"/>
        </w:rPr>
        <w:t xml:space="preserve"> doi</w:t>
      </w:r>
      <w:proofErr w:type="gramStart"/>
      <w:r w:rsidR="00D952CE">
        <w:rPr>
          <w:rFonts w:ascii="Helvetica" w:eastAsia="Helvetica" w:hAnsi="Helvetica" w:cs="Helvetica"/>
          <w:sz w:val="20"/>
          <w:szCs w:val="20"/>
          <w:lang w:val="en-US"/>
        </w:rPr>
        <w:t>:</w:t>
      </w:r>
      <w:r w:rsidR="00D952CE" w:rsidRPr="00D952CE">
        <w:rPr>
          <w:rFonts w:ascii="Helvetica" w:eastAsia="Helvetica" w:hAnsi="Helvetica" w:cs="Helvetica"/>
          <w:sz w:val="20"/>
          <w:szCs w:val="20"/>
          <w:lang w:val="en-US"/>
        </w:rPr>
        <w:t>10.1021</w:t>
      </w:r>
      <w:proofErr w:type="gramEnd"/>
      <w:r w:rsidR="00D952CE" w:rsidRPr="00D952CE">
        <w:rPr>
          <w:rFonts w:ascii="Helvetica" w:eastAsia="Helvetica" w:hAnsi="Helvetica" w:cs="Helvetica"/>
          <w:sz w:val="20"/>
          <w:szCs w:val="20"/>
          <w:lang w:val="en-US"/>
        </w:rPr>
        <w:t>/acs.est.5b00788</w:t>
      </w:r>
    </w:p>
    <w:sectPr w:rsidR="009B131E">
      <w:headerReference w:type="default" r:id="rId9"/>
      <w:footerReference w:type="default" r:id="rId10"/>
      <w:pgSz w:w="11900" w:h="16840"/>
      <w:pgMar w:top="1418" w:right="1134" w:bottom="1134"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6E24" w14:textId="77777777" w:rsidR="00C1079D" w:rsidRDefault="00C1079D">
      <w:r>
        <w:separator/>
      </w:r>
    </w:p>
  </w:endnote>
  <w:endnote w:type="continuationSeparator" w:id="0">
    <w:p w14:paraId="54507D23" w14:textId="77777777" w:rsidR="00C1079D" w:rsidRDefault="00C1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AC0F" w14:textId="77777777" w:rsidR="00C1079D" w:rsidRDefault="00C1079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1C478" w14:textId="77777777" w:rsidR="00C1079D" w:rsidRDefault="00C1079D">
      <w:r>
        <w:separator/>
      </w:r>
    </w:p>
  </w:footnote>
  <w:footnote w:type="continuationSeparator" w:id="0">
    <w:p w14:paraId="6469C789" w14:textId="77777777" w:rsidR="00C1079D" w:rsidRDefault="00C10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6522" w14:textId="77777777" w:rsidR="00C1079D" w:rsidRDefault="00C107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131E"/>
    <w:rsid w:val="00253423"/>
    <w:rsid w:val="00270C5A"/>
    <w:rsid w:val="002A059C"/>
    <w:rsid w:val="00335A5D"/>
    <w:rsid w:val="00451BC0"/>
    <w:rsid w:val="004C138D"/>
    <w:rsid w:val="005168E6"/>
    <w:rsid w:val="00536388"/>
    <w:rsid w:val="005B02EA"/>
    <w:rsid w:val="00735392"/>
    <w:rsid w:val="007E732E"/>
    <w:rsid w:val="007F646E"/>
    <w:rsid w:val="009B131E"/>
    <w:rsid w:val="00BA7F5A"/>
    <w:rsid w:val="00BB22FA"/>
    <w:rsid w:val="00C1079D"/>
    <w:rsid w:val="00C81E6F"/>
    <w:rsid w:val="00CC588B"/>
    <w:rsid w:val="00D952CE"/>
    <w:rsid w:val="00DD40E9"/>
    <w:rsid w:val="00EA531C"/>
    <w:rsid w:val="00EC0693"/>
    <w:rsid w:val="00F4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A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EA5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31C"/>
    <w:rPr>
      <w:rFonts w:ascii="Lucida Grande" w:hAnsi="Lucida Grande" w:cs="Lucida Grande"/>
      <w:color w:val="000000"/>
      <w:sz w:val="18"/>
      <w:szCs w:val="18"/>
      <w:u w:color="000000"/>
      <w:lang w:val="de-DE"/>
    </w:rPr>
  </w:style>
  <w:style w:type="character" w:styleId="CommentReference">
    <w:name w:val="annotation reference"/>
    <w:basedOn w:val="DefaultParagraphFont"/>
    <w:uiPriority w:val="99"/>
    <w:semiHidden/>
    <w:unhideWhenUsed/>
    <w:rsid w:val="00735392"/>
    <w:rPr>
      <w:sz w:val="18"/>
      <w:szCs w:val="18"/>
    </w:rPr>
  </w:style>
  <w:style w:type="paragraph" w:styleId="CommentText">
    <w:name w:val="annotation text"/>
    <w:basedOn w:val="Normal"/>
    <w:link w:val="CommentTextChar"/>
    <w:uiPriority w:val="99"/>
    <w:semiHidden/>
    <w:unhideWhenUsed/>
    <w:rsid w:val="00735392"/>
  </w:style>
  <w:style w:type="character" w:customStyle="1" w:styleId="CommentTextChar">
    <w:name w:val="Comment Text Char"/>
    <w:basedOn w:val="DefaultParagraphFont"/>
    <w:link w:val="CommentText"/>
    <w:uiPriority w:val="99"/>
    <w:semiHidden/>
    <w:rsid w:val="00735392"/>
    <w:rPr>
      <w:rFonts w:hAnsi="Arial Unicode MS" w:cs="Arial Unicode MS"/>
      <w:color w:val="000000"/>
      <w:sz w:val="24"/>
      <w:szCs w:val="24"/>
      <w:u w:color="000000"/>
      <w:lang w:val="de-DE"/>
    </w:rPr>
  </w:style>
  <w:style w:type="paragraph" w:styleId="CommentSubject">
    <w:name w:val="annotation subject"/>
    <w:basedOn w:val="CommentText"/>
    <w:next w:val="CommentText"/>
    <w:link w:val="CommentSubjectChar"/>
    <w:uiPriority w:val="99"/>
    <w:semiHidden/>
    <w:unhideWhenUsed/>
    <w:rsid w:val="00735392"/>
    <w:rPr>
      <w:b/>
      <w:bCs/>
      <w:sz w:val="20"/>
      <w:szCs w:val="20"/>
    </w:rPr>
  </w:style>
  <w:style w:type="character" w:customStyle="1" w:styleId="CommentSubjectChar">
    <w:name w:val="Comment Subject Char"/>
    <w:basedOn w:val="CommentTextChar"/>
    <w:link w:val="CommentSubject"/>
    <w:uiPriority w:val="99"/>
    <w:semiHidden/>
    <w:rsid w:val="00735392"/>
    <w:rPr>
      <w:rFonts w:hAnsi="Arial Unicode MS" w:cs="Arial Unicode MS"/>
      <w:b/>
      <w:bCs/>
      <w:color w:val="000000"/>
      <w:sz w:val="24"/>
      <w:szCs w:val="24"/>
      <w:u w:color="000000"/>
      <w:lang w:val="de-DE"/>
    </w:rPr>
  </w:style>
  <w:style w:type="paragraph" w:styleId="Revision">
    <w:name w:val="Revision"/>
    <w:hidden/>
    <w:uiPriority w:val="99"/>
    <w:semiHidden/>
    <w:rsid w:val="0073539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EA5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31C"/>
    <w:rPr>
      <w:rFonts w:ascii="Lucida Grande" w:hAnsi="Lucida Grande" w:cs="Lucida Grande"/>
      <w:color w:val="000000"/>
      <w:sz w:val="18"/>
      <w:szCs w:val="18"/>
      <w:u w:color="000000"/>
      <w:lang w:val="de-DE"/>
    </w:rPr>
  </w:style>
  <w:style w:type="character" w:styleId="CommentReference">
    <w:name w:val="annotation reference"/>
    <w:basedOn w:val="DefaultParagraphFont"/>
    <w:uiPriority w:val="99"/>
    <w:semiHidden/>
    <w:unhideWhenUsed/>
    <w:rsid w:val="00735392"/>
    <w:rPr>
      <w:sz w:val="18"/>
      <w:szCs w:val="18"/>
    </w:rPr>
  </w:style>
  <w:style w:type="paragraph" w:styleId="CommentText">
    <w:name w:val="annotation text"/>
    <w:basedOn w:val="Normal"/>
    <w:link w:val="CommentTextChar"/>
    <w:uiPriority w:val="99"/>
    <w:semiHidden/>
    <w:unhideWhenUsed/>
    <w:rsid w:val="00735392"/>
  </w:style>
  <w:style w:type="character" w:customStyle="1" w:styleId="CommentTextChar">
    <w:name w:val="Comment Text Char"/>
    <w:basedOn w:val="DefaultParagraphFont"/>
    <w:link w:val="CommentText"/>
    <w:uiPriority w:val="99"/>
    <w:semiHidden/>
    <w:rsid w:val="00735392"/>
    <w:rPr>
      <w:rFonts w:hAnsi="Arial Unicode MS" w:cs="Arial Unicode MS"/>
      <w:color w:val="000000"/>
      <w:sz w:val="24"/>
      <w:szCs w:val="24"/>
      <w:u w:color="000000"/>
      <w:lang w:val="de-DE"/>
    </w:rPr>
  </w:style>
  <w:style w:type="paragraph" w:styleId="CommentSubject">
    <w:name w:val="annotation subject"/>
    <w:basedOn w:val="CommentText"/>
    <w:next w:val="CommentText"/>
    <w:link w:val="CommentSubjectChar"/>
    <w:uiPriority w:val="99"/>
    <w:semiHidden/>
    <w:unhideWhenUsed/>
    <w:rsid w:val="00735392"/>
    <w:rPr>
      <w:b/>
      <w:bCs/>
      <w:sz w:val="20"/>
      <w:szCs w:val="20"/>
    </w:rPr>
  </w:style>
  <w:style w:type="character" w:customStyle="1" w:styleId="CommentSubjectChar">
    <w:name w:val="Comment Subject Char"/>
    <w:basedOn w:val="CommentTextChar"/>
    <w:link w:val="CommentSubject"/>
    <w:uiPriority w:val="99"/>
    <w:semiHidden/>
    <w:rsid w:val="00735392"/>
    <w:rPr>
      <w:rFonts w:hAnsi="Arial Unicode MS" w:cs="Arial Unicode MS"/>
      <w:b/>
      <w:bCs/>
      <w:color w:val="000000"/>
      <w:sz w:val="24"/>
      <w:szCs w:val="24"/>
      <w:u w:color="000000"/>
      <w:lang w:val="de-DE"/>
    </w:rPr>
  </w:style>
  <w:style w:type="paragraph" w:styleId="Revision">
    <w:name w:val="Revision"/>
    <w:hidden/>
    <w:uiPriority w:val="99"/>
    <w:semiHidden/>
    <w:rsid w:val="0073539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9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hrin.fenner@eawag.ch" TargetMode="External"/><Relationship Id="rId8" Type="http://schemas.openxmlformats.org/officeDocument/2006/relationships/hyperlink" Target="mailto:stefan.hahn@item.fraunhofer.de"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657</Words>
  <Characters>3751</Characters>
  <Application>Microsoft Macintosh Word</Application>
  <DocSecurity>0</DocSecurity>
  <Lines>31</Lines>
  <Paragraphs>8</Paragraphs>
  <ScaleCrop>false</ScaleCrop>
  <Company>Eawag</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12</cp:revision>
  <dcterms:created xsi:type="dcterms:W3CDTF">2015-04-28T09:39:00Z</dcterms:created>
  <dcterms:modified xsi:type="dcterms:W3CDTF">2015-05-18T10:27:00Z</dcterms:modified>
</cp:coreProperties>
</file>