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705" w:rsidRPr="00F27A74" w:rsidRDefault="00D07888" w:rsidP="00DF6705">
      <w:pPr>
        <w:spacing w:after="120"/>
        <w:rPr>
          <w:rFonts w:ascii="Arial" w:hAnsi="Arial" w:cs="Arial"/>
          <w:b/>
          <w:noProof/>
          <w:sz w:val="28"/>
          <w:szCs w:val="28"/>
          <w:lang w:val="en-US"/>
        </w:rPr>
      </w:pPr>
      <w:r>
        <w:rPr>
          <w:rFonts w:ascii="Arial" w:hAnsi="Arial" w:cs="Arial"/>
          <w:b/>
          <w:noProof/>
          <w:sz w:val="28"/>
          <w:szCs w:val="28"/>
          <w:lang w:val="fr-FR"/>
        </w:rPr>
        <w:t xml:space="preserve">PTR-TOF-MS as </w:t>
      </w:r>
      <w:bookmarkStart w:id="0" w:name="_GoBack"/>
      <w:bookmarkEnd w:id="0"/>
      <w:r>
        <w:rPr>
          <w:rFonts w:ascii="Arial" w:hAnsi="Arial" w:cs="Arial"/>
          <w:b/>
          <w:noProof/>
          <w:sz w:val="28"/>
          <w:szCs w:val="28"/>
          <w:lang w:val="fr-FR"/>
        </w:rPr>
        <w:t xml:space="preserve">novel tool for online monitoring of nanoparticle catalyzed dehalogenation </w:t>
      </w:r>
      <w:r w:rsidR="009E088C">
        <w:rPr>
          <w:rFonts w:ascii="Arial" w:hAnsi="Arial" w:cs="Arial"/>
          <w:b/>
          <w:noProof/>
          <w:sz w:val="28"/>
          <w:szCs w:val="28"/>
          <w:lang w:val="fr-FR"/>
        </w:rPr>
        <w:t xml:space="preserve">reactions </w:t>
      </w:r>
      <w:r>
        <w:rPr>
          <w:rFonts w:ascii="Arial" w:hAnsi="Arial" w:cs="Arial"/>
          <w:b/>
          <w:noProof/>
          <w:sz w:val="28"/>
          <w:szCs w:val="28"/>
          <w:lang w:val="fr-FR"/>
        </w:rPr>
        <w:t xml:space="preserve">of </w:t>
      </w:r>
      <w:r w:rsidR="009E088C">
        <w:rPr>
          <w:rFonts w:ascii="Arial" w:hAnsi="Arial" w:cs="Arial"/>
          <w:b/>
          <w:noProof/>
          <w:sz w:val="28"/>
          <w:szCs w:val="28"/>
          <w:lang w:val="fr-FR"/>
        </w:rPr>
        <w:t>persistent organic pollutants</w:t>
      </w:r>
    </w:p>
    <w:p w:rsidR="001F4812" w:rsidRPr="00F27A74" w:rsidRDefault="001F4812" w:rsidP="00DF6705">
      <w:pPr>
        <w:spacing w:after="120"/>
        <w:rPr>
          <w:rFonts w:ascii="Arial" w:hAnsi="Arial" w:cs="Arial"/>
          <w:b/>
          <w:noProof/>
          <w:sz w:val="32"/>
          <w:szCs w:val="32"/>
          <w:lang w:val="en-US"/>
        </w:rPr>
      </w:pPr>
    </w:p>
    <w:p w:rsidR="00F27A74" w:rsidRPr="00F27A74" w:rsidRDefault="00F27A74" w:rsidP="00F27A74">
      <w:pPr>
        <w:spacing w:after="120"/>
        <w:rPr>
          <w:rFonts w:ascii="Arial" w:hAnsi="Arial" w:cs="Arial"/>
          <w:smallCaps/>
          <w:noProof/>
        </w:rPr>
      </w:pPr>
      <w:r w:rsidRPr="009E088C">
        <w:rPr>
          <w:rFonts w:ascii="Arial" w:hAnsi="Arial" w:cs="Arial"/>
          <w:smallCaps/>
          <w:noProof/>
          <w:u w:val="single"/>
        </w:rPr>
        <w:t>Leonard Böhm</w:t>
      </w:r>
      <w:r w:rsidRPr="00F27A74">
        <w:rPr>
          <w:rFonts w:ascii="Arial" w:hAnsi="Arial" w:cs="Arial"/>
          <w:smallCaps/>
          <w:noProof/>
          <w:vertAlign w:val="superscript"/>
        </w:rPr>
        <w:t>1</w:t>
      </w:r>
      <w:r w:rsidRPr="00F27A74">
        <w:rPr>
          <w:rFonts w:ascii="Arial" w:hAnsi="Arial" w:cs="Arial"/>
          <w:smallCaps/>
          <w:noProof/>
        </w:rPr>
        <w:t>, Markus Müller</w:t>
      </w:r>
      <w:r w:rsidRPr="00F27A74">
        <w:rPr>
          <w:rFonts w:ascii="Arial" w:hAnsi="Arial" w:cs="Arial"/>
          <w:smallCaps/>
          <w:noProof/>
          <w:vertAlign w:val="superscript"/>
        </w:rPr>
        <w:t>2</w:t>
      </w:r>
      <w:r w:rsidRPr="00F27A74">
        <w:rPr>
          <w:rFonts w:ascii="Arial" w:hAnsi="Arial" w:cs="Arial"/>
          <w:smallCaps/>
          <w:noProof/>
        </w:rPr>
        <w:t>, Fabian Fischer</w:t>
      </w:r>
      <w:r w:rsidRPr="00F27A74">
        <w:rPr>
          <w:rFonts w:ascii="Arial" w:hAnsi="Arial" w:cs="Arial"/>
          <w:smallCaps/>
          <w:noProof/>
          <w:vertAlign w:val="superscript"/>
        </w:rPr>
        <w:t>1</w:t>
      </w:r>
      <w:r w:rsidRPr="00F27A74">
        <w:rPr>
          <w:rFonts w:ascii="Arial" w:hAnsi="Arial" w:cs="Arial"/>
          <w:smallCaps/>
          <w:noProof/>
        </w:rPr>
        <w:t>, Florian Axt</w:t>
      </w:r>
      <w:r w:rsidRPr="00F27A74">
        <w:rPr>
          <w:rFonts w:ascii="Arial" w:hAnsi="Arial" w:cs="Arial"/>
          <w:smallCaps/>
          <w:noProof/>
          <w:vertAlign w:val="superscript"/>
        </w:rPr>
        <w:t>1</w:t>
      </w:r>
      <w:r w:rsidRPr="00F27A74">
        <w:rPr>
          <w:rFonts w:ascii="Arial" w:hAnsi="Arial" w:cs="Arial"/>
          <w:smallCaps/>
          <w:noProof/>
        </w:rPr>
        <w:t>, Florian Schmidt</w:t>
      </w:r>
      <w:r>
        <w:rPr>
          <w:rFonts w:ascii="Arial" w:hAnsi="Arial" w:cs="Arial"/>
          <w:smallCaps/>
          <w:noProof/>
          <w:vertAlign w:val="superscript"/>
        </w:rPr>
        <w:t>3</w:t>
      </w:r>
      <w:r w:rsidRPr="00F27A74">
        <w:rPr>
          <w:rFonts w:ascii="Arial" w:hAnsi="Arial" w:cs="Arial"/>
          <w:smallCaps/>
          <w:noProof/>
        </w:rPr>
        <w:t>, Michael Schlüter</w:t>
      </w:r>
      <w:r>
        <w:rPr>
          <w:rFonts w:ascii="Arial" w:hAnsi="Arial" w:cs="Arial"/>
          <w:smallCaps/>
          <w:noProof/>
          <w:vertAlign w:val="superscript"/>
        </w:rPr>
        <w:t>3</w:t>
      </w:r>
      <w:r w:rsidRPr="00F27A74">
        <w:rPr>
          <w:rFonts w:ascii="Arial" w:hAnsi="Arial" w:cs="Arial"/>
          <w:smallCaps/>
          <w:noProof/>
        </w:rPr>
        <w:t>, Armin Wisthaler</w:t>
      </w:r>
      <w:r>
        <w:rPr>
          <w:rFonts w:ascii="Arial" w:hAnsi="Arial" w:cs="Arial"/>
          <w:smallCaps/>
          <w:noProof/>
          <w:vertAlign w:val="superscript"/>
        </w:rPr>
        <w:t>2,4</w:t>
      </w:r>
      <w:r w:rsidRPr="00F27A74">
        <w:rPr>
          <w:rFonts w:ascii="Arial" w:hAnsi="Arial" w:cs="Arial"/>
          <w:smallCaps/>
          <w:noProof/>
        </w:rPr>
        <w:t>, Michael Bunge</w:t>
      </w:r>
      <w:r>
        <w:rPr>
          <w:rFonts w:ascii="Arial" w:hAnsi="Arial" w:cs="Arial"/>
          <w:smallCaps/>
          <w:noProof/>
          <w:vertAlign w:val="superscript"/>
        </w:rPr>
        <w:t>3</w:t>
      </w:r>
      <w:r w:rsidRPr="00F27A74">
        <w:rPr>
          <w:rFonts w:ascii="Arial" w:hAnsi="Arial" w:cs="Arial"/>
          <w:smallCaps/>
          <w:noProof/>
        </w:rPr>
        <w:t>, Rolf-Alexander Düring</w:t>
      </w:r>
      <w:r w:rsidRPr="00F27A74">
        <w:rPr>
          <w:rFonts w:ascii="Arial" w:hAnsi="Arial" w:cs="Arial"/>
          <w:smallCaps/>
          <w:noProof/>
          <w:vertAlign w:val="superscript"/>
        </w:rPr>
        <w:t>1</w:t>
      </w:r>
    </w:p>
    <w:p w:rsidR="00DF6705" w:rsidRPr="00AB7D92" w:rsidRDefault="00DF6705" w:rsidP="00F27A74">
      <w:pPr>
        <w:spacing w:after="120"/>
        <w:rPr>
          <w:rFonts w:ascii="Arial" w:hAnsi="Arial" w:cs="Arial"/>
          <w:noProof/>
          <w:sz w:val="18"/>
          <w:szCs w:val="18"/>
          <w:lang w:val="en-US"/>
        </w:rPr>
      </w:pPr>
      <w:r w:rsidRPr="00F27A74">
        <w:rPr>
          <w:rFonts w:ascii="Arial" w:hAnsi="Arial" w:cs="Arial"/>
          <w:noProof/>
          <w:sz w:val="18"/>
          <w:szCs w:val="18"/>
          <w:vertAlign w:val="superscript"/>
          <w:lang w:val="en-US"/>
        </w:rPr>
        <w:t>1</w:t>
      </w:r>
      <w:r w:rsidRPr="00F27A74">
        <w:rPr>
          <w:rFonts w:ascii="Arial" w:hAnsi="Arial" w:cs="Arial"/>
          <w:noProof/>
          <w:sz w:val="18"/>
          <w:szCs w:val="18"/>
          <w:lang w:val="en-US"/>
        </w:rPr>
        <w:t xml:space="preserve"> </w:t>
      </w:r>
      <w:r w:rsidR="0050115A" w:rsidRPr="00F27A74">
        <w:rPr>
          <w:rFonts w:ascii="Arial" w:hAnsi="Arial" w:cs="Arial"/>
          <w:noProof/>
          <w:sz w:val="18"/>
          <w:szCs w:val="18"/>
          <w:lang w:val="en-US"/>
        </w:rPr>
        <w:t>Justus Liebig University Giessen</w:t>
      </w:r>
      <w:r w:rsidR="00AB7D92">
        <w:rPr>
          <w:rFonts w:ascii="Arial" w:hAnsi="Arial" w:cs="Arial"/>
          <w:noProof/>
          <w:sz w:val="18"/>
          <w:szCs w:val="18"/>
          <w:lang w:val="en-US"/>
        </w:rPr>
        <w:t xml:space="preserve">, </w:t>
      </w:r>
      <w:r w:rsidR="00AB7D92" w:rsidRPr="00F27A74">
        <w:rPr>
          <w:rFonts w:ascii="Arial" w:hAnsi="Arial" w:cs="Arial"/>
          <w:noProof/>
          <w:sz w:val="18"/>
          <w:szCs w:val="18"/>
          <w:lang w:val="en-US"/>
        </w:rPr>
        <w:t xml:space="preserve">Research Centre for BioSystems, Land Use, and Nutrition (IFZ), </w:t>
      </w:r>
      <w:r w:rsidR="00F27A74" w:rsidRPr="00F27A74">
        <w:rPr>
          <w:rFonts w:ascii="Arial" w:hAnsi="Arial" w:cs="Arial"/>
          <w:noProof/>
          <w:sz w:val="18"/>
          <w:szCs w:val="18"/>
          <w:lang w:val="en-US"/>
        </w:rPr>
        <w:t xml:space="preserve">Institute of Soil Science and Soil Conservation, </w:t>
      </w:r>
      <w:r w:rsidR="00AB7D92">
        <w:rPr>
          <w:rFonts w:ascii="Arial" w:hAnsi="Arial" w:cs="Arial"/>
          <w:noProof/>
          <w:sz w:val="18"/>
          <w:szCs w:val="18"/>
          <w:lang w:val="en-US"/>
        </w:rPr>
        <w:t>Heinrich-Buff-Ring 26</w:t>
      </w:r>
      <w:r w:rsidR="00F27A74" w:rsidRPr="00F27A74">
        <w:rPr>
          <w:rFonts w:ascii="Arial" w:hAnsi="Arial" w:cs="Arial"/>
          <w:noProof/>
          <w:sz w:val="18"/>
          <w:szCs w:val="18"/>
          <w:lang w:val="en-US"/>
        </w:rPr>
        <w:t xml:space="preserve">, </w:t>
      </w:r>
      <w:r w:rsidR="00AB7D92">
        <w:rPr>
          <w:rFonts w:ascii="Arial" w:hAnsi="Arial" w:cs="Arial"/>
          <w:noProof/>
          <w:sz w:val="18"/>
          <w:szCs w:val="18"/>
          <w:lang w:val="en-US"/>
        </w:rPr>
        <w:t xml:space="preserve">35392 Giessen, </w:t>
      </w:r>
      <w:r w:rsidR="00F27A74" w:rsidRPr="00F27A74">
        <w:rPr>
          <w:rFonts w:ascii="Arial" w:hAnsi="Arial" w:cs="Arial"/>
          <w:noProof/>
          <w:sz w:val="18"/>
          <w:szCs w:val="18"/>
          <w:lang w:val="en-US"/>
        </w:rPr>
        <w:t>Germany</w:t>
      </w:r>
      <w:r w:rsidR="00F27A74">
        <w:rPr>
          <w:rFonts w:ascii="Arial" w:hAnsi="Arial" w:cs="Arial"/>
          <w:noProof/>
          <w:sz w:val="18"/>
          <w:szCs w:val="18"/>
          <w:lang w:val="en-US"/>
        </w:rPr>
        <w:t xml:space="preserve">, </w:t>
      </w:r>
      <w:hyperlink r:id="rId4" w:history="1">
        <w:r w:rsidR="00F27A74" w:rsidRPr="00120C8A">
          <w:rPr>
            <w:rStyle w:val="Hyperlink"/>
            <w:rFonts w:ascii="Arial" w:hAnsi="Arial" w:cs="Arial"/>
            <w:noProof/>
            <w:sz w:val="18"/>
            <w:szCs w:val="18"/>
            <w:lang w:val="en-US"/>
          </w:rPr>
          <w:t>leonard.boehm@umwelt.uni-giessen</w:t>
        </w:r>
      </w:hyperlink>
    </w:p>
    <w:p w:rsidR="00AB7D92" w:rsidRPr="00D07888" w:rsidRDefault="00AB7D92" w:rsidP="00D07888">
      <w:pPr>
        <w:spacing w:after="120"/>
        <w:rPr>
          <w:rFonts w:ascii="Arial" w:hAnsi="Arial" w:cs="Arial"/>
          <w:noProof/>
          <w:sz w:val="18"/>
          <w:szCs w:val="18"/>
          <w:lang w:val="en-US"/>
        </w:rPr>
      </w:pPr>
      <w:r w:rsidRPr="00AB7D92">
        <w:rPr>
          <w:rFonts w:ascii="Arial" w:hAnsi="Arial" w:cs="Arial"/>
          <w:noProof/>
          <w:sz w:val="18"/>
          <w:szCs w:val="18"/>
          <w:vertAlign w:val="superscript"/>
          <w:lang w:val="en-US"/>
        </w:rPr>
        <w:t>2</w:t>
      </w:r>
      <w:r w:rsidRPr="00F27A74">
        <w:rPr>
          <w:rFonts w:ascii="Arial" w:hAnsi="Arial" w:cs="Arial"/>
          <w:noProof/>
          <w:sz w:val="18"/>
          <w:szCs w:val="18"/>
          <w:lang w:val="en-US"/>
        </w:rPr>
        <w:t xml:space="preserve"> </w:t>
      </w:r>
      <w:r w:rsidR="002122D3" w:rsidRPr="001822E0">
        <w:rPr>
          <w:rFonts w:ascii="Arial" w:hAnsi="Arial" w:cs="Arial"/>
          <w:color w:val="000000"/>
          <w:sz w:val="18"/>
          <w:szCs w:val="18"/>
          <w:lang w:val="en-US"/>
        </w:rPr>
        <w:t>University of Innsbruck</w:t>
      </w:r>
      <w:r>
        <w:rPr>
          <w:rFonts w:ascii="Arial" w:hAnsi="Arial" w:cs="Arial"/>
          <w:noProof/>
          <w:sz w:val="18"/>
          <w:szCs w:val="18"/>
          <w:lang w:val="en-US"/>
        </w:rPr>
        <w:t xml:space="preserve">, </w:t>
      </w:r>
      <w:r w:rsidR="00D07888" w:rsidRPr="00D07888">
        <w:rPr>
          <w:rFonts w:ascii="Arial" w:hAnsi="Arial" w:cs="Arial"/>
          <w:color w:val="000000"/>
          <w:sz w:val="18"/>
          <w:szCs w:val="18"/>
          <w:lang w:val="en-US"/>
        </w:rPr>
        <w:t>Institute for Io</w:t>
      </w:r>
      <w:r w:rsidR="00D07888">
        <w:rPr>
          <w:rFonts w:ascii="Arial" w:hAnsi="Arial" w:cs="Arial"/>
          <w:color w:val="000000"/>
          <w:sz w:val="18"/>
          <w:szCs w:val="18"/>
          <w:lang w:val="en-US"/>
        </w:rPr>
        <w:t xml:space="preserve">n Physics and Applied Physics, </w:t>
      </w:r>
      <w:r w:rsidR="00D07888" w:rsidRPr="00D07888">
        <w:rPr>
          <w:rFonts w:ascii="Arial" w:hAnsi="Arial" w:cs="Arial"/>
          <w:color w:val="000000"/>
          <w:sz w:val="18"/>
          <w:szCs w:val="18"/>
          <w:lang w:val="en-US"/>
        </w:rPr>
        <w:t>Atmospheric and Indoor Air Chemistry</w:t>
      </w:r>
      <w:r w:rsidRPr="00F27A74">
        <w:rPr>
          <w:rFonts w:ascii="Arial" w:hAnsi="Arial" w:cs="Arial"/>
          <w:noProof/>
          <w:sz w:val="18"/>
          <w:szCs w:val="18"/>
          <w:lang w:val="en-US"/>
        </w:rPr>
        <w:t xml:space="preserve">, </w:t>
      </w:r>
      <w:r w:rsidR="00D07888">
        <w:rPr>
          <w:rFonts w:ascii="Arial" w:hAnsi="Arial" w:cs="Arial"/>
          <w:noProof/>
          <w:sz w:val="18"/>
          <w:szCs w:val="18"/>
          <w:lang w:val="en-US"/>
        </w:rPr>
        <w:t xml:space="preserve">Technikerstrasse 25, </w:t>
      </w:r>
      <w:r w:rsidR="00D07888" w:rsidRPr="00D07888">
        <w:rPr>
          <w:rFonts w:ascii="Arial" w:hAnsi="Arial" w:cs="Arial"/>
          <w:noProof/>
          <w:sz w:val="18"/>
          <w:szCs w:val="18"/>
          <w:lang w:val="en-US"/>
        </w:rPr>
        <w:t xml:space="preserve">6020 </w:t>
      </w:r>
      <w:r w:rsidR="002122D3" w:rsidRPr="00D07888">
        <w:rPr>
          <w:rFonts w:ascii="Arial" w:hAnsi="Arial" w:cs="Arial"/>
          <w:noProof/>
          <w:sz w:val="18"/>
          <w:szCs w:val="18"/>
          <w:lang w:val="en-US"/>
        </w:rPr>
        <w:t>Innsbruck</w:t>
      </w:r>
      <w:r w:rsidRPr="00D07888">
        <w:rPr>
          <w:rFonts w:ascii="Arial" w:hAnsi="Arial" w:cs="Arial"/>
          <w:noProof/>
          <w:sz w:val="18"/>
          <w:szCs w:val="18"/>
          <w:lang w:val="en-US"/>
        </w:rPr>
        <w:t xml:space="preserve">, </w:t>
      </w:r>
      <w:r w:rsidR="002122D3" w:rsidRPr="00D07888">
        <w:rPr>
          <w:rFonts w:ascii="Arial" w:hAnsi="Arial" w:cs="Arial"/>
          <w:noProof/>
          <w:sz w:val="18"/>
          <w:szCs w:val="18"/>
          <w:lang w:val="en-US"/>
        </w:rPr>
        <w:t>Austria</w:t>
      </w:r>
      <w:r w:rsidRPr="00D07888">
        <w:rPr>
          <w:rFonts w:ascii="Arial" w:hAnsi="Arial" w:cs="Arial"/>
          <w:noProof/>
          <w:sz w:val="18"/>
          <w:szCs w:val="18"/>
          <w:lang w:val="en-US"/>
        </w:rPr>
        <w:t xml:space="preserve">, </w:t>
      </w:r>
      <w:hyperlink r:id="rId5" w:history="1">
        <w:r w:rsidR="002122D3" w:rsidRPr="00D07888">
          <w:rPr>
            <w:rStyle w:val="Hyperlink"/>
            <w:rFonts w:ascii="Arial" w:hAnsi="Arial" w:cs="Arial"/>
            <w:noProof/>
            <w:sz w:val="18"/>
            <w:szCs w:val="18"/>
            <w:lang w:val="en-US"/>
          </w:rPr>
          <w:t>m.mueller@uibk.ac.at</w:t>
        </w:r>
      </w:hyperlink>
    </w:p>
    <w:p w:rsidR="00AB7D92" w:rsidRPr="00AB7D92" w:rsidRDefault="00AB7D92" w:rsidP="00AB7D92">
      <w:pPr>
        <w:spacing w:after="120"/>
        <w:rPr>
          <w:rFonts w:ascii="Arial" w:hAnsi="Arial" w:cs="Arial"/>
          <w:noProof/>
          <w:sz w:val="18"/>
          <w:szCs w:val="18"/>
          <w:lang w:val="en-US"/>
        </w:rPr>
      </w:pPr>
      <w:r>
        <w:rPr>
          <w:rFonts w:ascii="Arial" w:hAnsi="Arial" w:cs="Arial"/>
          <w:noProof/>
          <w:sz w:val="18"/>
          <w:szCs w:val="18"/>
          <w:vertAlign w:val="superscript"/>
          <w:lang w:val="en-US"/>
        </w:rPr>
        <w:t>3</w:t>
      </w:r>
      <w:r w:rsidRPr="00F27A74">
        <w:rPr>
          <w:rFonts w:ascii="Arial" w:hAnsi="Arial" w:cs="Arial"/>
          <w:noProof/>
          <w:sz w:val="18"/>
          <w:szCs w:val="18"/>
          <w:lang w:val="en-US"/>
        </w:rPr>
        <w:t xml:space="preserve"> Justus Liebig University Giessen</w:t>
      </w:r>
      <w:r>
        <w:rPr>
          <w:rFonts w:ascii="Arial" w:hAnsi="Arial" w:cs="Arial"/>
          <w:noProof/>
          <w:sz w:val="18"/>
          <w:szCs w:val="18"/>
          <w:lang w:val="en-US"/>
        </w:rPr>
        <w:t xml:space="preserve">, </w:t>
      </w:r>
      <w:r w:rsidRPr="00F27A74">
        <w:rPr>
          <w:rFonts w:ascii="Arial" w:hAnsi="Arial" w:cs="Arial"/>
          <w:noProof/>
          <w:sz w:val="18"/>
          <w:szCs w:val="18"/>
          <w:lang w:val="en-US"/>
        </w:rPr>
        <w:t xml:space="preserve">Research Centre for BioSystems, Land Use, and Nutrition (IFZ), Institute of </w:t>
      </w:r>
      <w:r w:rsidR="000C1B5A" w:rsidRPr="001822E0">
        <w:rPr>
          <w:rFonts w:ascii="Arial" w:hAnsi="Arial" w:cs="Arial"/>
          <w:color w:val="000000"/>
          <w:sz w:val="18"/>
          <w:szCs w:val="18"/>
          <w:lang w:val="en-US"/>
        </w:rPr>
        <w:t>Applied Microbiology</w:t>
      </w:r>
      <w:r w:rsidRPr="00F27A74">
        <w:rPr>
          <w:rFonts w:ascii="Arial" w:hAnsi="Arial" w:cs="Arial"/>
          <w:noProof/>
          <w:sz w:val="18"/>
          <w:szCs w:val="18"/>
          <w:lang w:val="en-US"/>
        </w:rPr>
        <w:t xml:space="preserve">, </w:t>
      </w:r>
      <w:r>
        <w:rPr>
          <w:rFonts w:ascii="Arial" w:hAnsi="Arial" w:cs="Arial"/>
          <w:noProof/>
          <w:sz w:val="18"/>
          <w:szCs w:val="18"/>
          <w:lang w:val="en-US"/>
        </w:rPr>
        <w:t>Heinrich-Buff-Ring 26</w:t>
      </w:r>
      <w:r w:rsidRPr="00F27A74">
        <w:rPr>
          <w:rFonts w:ascii="Arial" w:hAnsi="Arial" w:cs="Arial"/>
          <w:noProof/>
          <w:sz w:val="18"/>
          <w:szCs w:val="18"/>
          <w:lang w:val="en-US"/>
        </w:rPr>
        <w:t xml:space="preserve">, </w:t>
      </w:r>
      <w:r>
        <w:rPr>
          <w:rFonts w:ascii="Arial" w:hAnsi="Arial" w:cs="Arial"/>
          <w:noProof/>
          <w:sz w:val="18"/>
          <w:szCs w:val="18"/>
          <w:lang w:val="en-US"/>
        </w:rPr>
        <w:t xml:space="preserve">35392 Giessen, </w:t>
      </w:r>
      <w:r w:rsidRPr="00F27A74">
        <w:rPr>
          <w:rFonts w:ascii="Arial" w:hAnsi="Arial" w:cs="Arial"/>
          <w:noProof/>
          <w:sz w:val="18"/>
          <w:szCs w:val="18"/>
          <w:lang w:val="en-US"/>
        </w:rPr>
        <w:t>Germany</w:t>
      </w:r>
      <w:r>
        <w:rPr>
          <w:rFonts w:ascii="Arial" w:hAnsi="Arial" w:cs="Arial"/>
          <w:noProof/>
          <w:sz w:val="18"/>
          <w:szCs w:val="18"/>
          <w:lang w:val="en-US"/>
        </w:rPr>
        <w:t xml:space="preserve">, </w:t>
      </w:r>
      <w:hyperlink r:id="rId6" w:history="1">
        <w:r w:rsidR="002122D3" w:rsidRPr="00120C8A">
          <w:rPr>
            <w:rStyle w:val="Hyperlink"/>
            <w:rFonts w:ascii="Arial" w:hAnsi="Arial" w:cs="Arial"/>
            <w:noProof/>
            <w:sz w:val="18"/>
            <w:szCs w:val="18"/>
            <w:lang w:val="en-US"/>
          </w:rPr>
          <w:t>michael.bunge@umwelt.uni-giessen.de</w:t>
        </w:r>
      </w:hyperlink>
    </w:p>
    <w:p w:rsidR="00AB7D92" w:rsidRPr="00AB7D92" w:rsidRDefault="00AB7D92" w:rsidP="002122D3">
      <w:pPr>
        <w:spacing w:after="120"/>
        <w:rPr>
          <w:rFonts w:ascii="Arial" w:hAnsi="Arial" w:cs="Arial"/>
          <w:noProof/>
          <w:sz w:val="18"/>
          <w:szCs w:val="18"/>
          <w:lang w:val="en-US"/>
        </w:rPr>
      </w:pPr>
      <w:r>
        <w:rPr>
          <w:rFonts w:ascii="Arial" w:hAnsi="Arial" w:cs="Arial"/>
          <w:noProof/>
          <w:sz w:val="18"/>
          <w:szCs w:val="18"/>
          <w:vertAlign w:val="superscript"/>
          <w:lang w:val="en-US"/>
        </w:rPr>
        <w:t>4</w:t>
      </w:r>
      <w:r w:rsidRPr="00F27A74">
        <w:rPr>
          <w:rFonts w:ascii="Arial" w:hAnsi="Arial" w:cs="Arial"/>
          <w:noProof/>
          <w:sz w:val="18"/>
          <w:szCs w:val="18"/>
          <w:lang w:val="en-US"/>
        </w:rPr>
        <w:t xml:space="preserve"> </w:t>
      </w:r>
      <w:r w:rsidR="000C1B5A" w:rsidRPr="001822E0">
        <w:rPr>
          <w:rFonts w:ascii="Arial" w:hAnsi="Arial" w:cs="Arial"/>
          <w:color w:val="000000"/>
          <w:sz w:val="18"/>
          <w:szCs w:val="18"/>
          <w:lang w:val="en-US"/>
        </w:rPr>
        <w:t>University of Oslo</w:t>
      </w:r>
      <w:r w:rsidRPr="00F27A74">
        <w:rPr>
          <w:rFonts w:ascii="Arial" w:hAnsi="Arial" w:cs="Arial"/>
          <w:noProof/>
          <w:sz w:val="18"/>
          <w:szCs w:val="18"/>
          <w:lang w:val="en-US"/>
        </w:rPr>
        <w:t xml:space="preserve">, </w:t>
      </w:r>
      <w:r w:rsidR="000C1B5A" w:rsidRPr="001822E0">
        <w:rPr>
          <w:rFonts w:ascii="Arial" w:hAnsi="Arial" w:cs="Arial"/>
          <w:color w:val="000000"/>
          <w:sz w:val="18"/>
          <w:szCs w:val="18"/>
          <w:lang w:val="en-US"/>
        </w:rPr>
        <w:t>Department of Chemistry</w:t>
      </w:r>
      <w:r w:rsidR="000C1B5A">
        <w:rPr>
          <w:rFonts w:ascii="Arial" w:hAnsi="Arial" w:cs="Arial"/>
          <w:color w:val="000000"/>
          <w:sz w:val="18"/>
          <w:szCs w:val="18"/>
          <w:lang w:val="en-US"/>
        </w:rPr>
        <w:t>,</w:t>
      </w:r>
      <w:r w:rsidR="000C1B5A">
        <w:rPr>
          <w:rFonts w:ascii="Arial" w:hAnsi="Arial" w:cs="Arial"/>
          <w:noProof/>
          <w:sz w:val="18"/>
          <w:szCs w:val="18"/>
          <w:lang w:val="en-US"/>
        </w:rPr>
        <w:t xml:space="preserve"> </w:t>
      </w:r>
      <w:r w:rsidR="002122D3" w:rsidRPr="002122D3">
        <w:rPr>
          <w:rFonts w:ascii="Arial" w:hAnsi="Arial" w:cs="Arial"/>
          <w:noProof/>
          <w:sz w:val="18"/>
          <w:szCs w:val="18"/>
          <w:lang w:val="en-US"/>
        </w:rPr>
        <w:t>Sem Sælands vei 26</w:t>
      </w:r>
      <w:r w:rsidR="002122D3">
        <w:rPr>
          <w:rFonts w:ascii="Arial" w:hAnsi="Arial" w:cs="Arial"/>
          <w:noProof/>
          <w:sz w:val="18"/>
          <w:szCs w:val="18"/>
          <w:lang w:val="en-US"/>
        </w:rPr>
        <w:t xml:space="preserve">, </w:t>
      </w:r>
      <w:r w:rsidR="002122D3" w:rsidRPr="002122D3">
        <w:rPr>
          <w:rFonts w:ascii="Arial" w:hAnsi="Arial" w:cs="Arial"/>
          <w:noProof/>
          <w:sz w:val="18"/>
          <w:szCs w:val="18"/>
          <w:lang w:val="en-US"/>
        </w:rPr>
        <w:t>Kjemibygningen</w:t>
      </w:r>
      <w:r w:rsidR="002122D3">
        <w:rPr>
          <w:rFonts w:ascii="Arial" w:hAnsi="Arial" w:cs="Arial"/>
          <w:noProof/>
          <w:sz w:val="18"/>
          <w:szCs w:val="18"/>
          <w:lang w:val="en-US"/>
        </w:rPr>
        <w:t xml:space="preserve">, </w:t>
      </w:r>
      <w:r w:rsidR="002122D3" w:rsidRPr="002122D3">
        <w:rPr>
          <w:rFonts w:ascii="Arial" w:hAnsi="Arial" w:cs="Arial"/>
          <w:noProof/>
          <w:sz w:val="18"/>
          <w:szCs w:val="18"/>
          <w:lang w:val="en-US"/>
        </w:rPr>
        <w:t>0371</w:t>
      </w:r>
      <w:r>
        <w:rPr>
          <w:rFonts w:ascii="Arial" w:hAnsi="Arial" w:cs="Arial"/>
          <w:noProof/>
          <w:sz w:val="18"/>
          <w:szCs w:val="18"/>
          <w:lang w:val="en-US"/>
        </w:rPr>
        <w:t xml:space="preserve"> </w:t>
      </w:r>
      <w:r w:rsidR="000C1B5A">
        <w:rPr>
          <w:rFonts w:ascii="Arial" w:hAnsi="Arial" w:cs="Arial"/>
          <w:noProof/>
          <w:sz w:val="18"/>
          <w:szCs w:val="18"/>
          <w:lang w:val="en-US"/>
        </w:rPr>
        <w:t>Oslo</w:t>
      </w:r>
      <w:r>
        <w:rPr>
          <w:rFonts w:ascii="Arial" w:hAnsi="Arial" w:cs="Arial"/>
          <w:noProof/>
          <w:sz w:val="18"/>
          <w:szCs w:val="18"/>
          <w:lang w:val="en-US"/>
        </w:rPr>
        <w:t xml:space="preserve">, </w:t>
      </w:r>
      <w:r w:rsidR="000C1B5A">
        <w:rPr>
          <w:rFonts w:ascii="Arial" w:hAnsi="Arial" w:cs="Arial"/>
          <w:noProof/>
          <w:sz w:val="18"/>
          <w:szCs w:val="18"/>
          <w:lang w:val="en-US"/>
        </w:rPr>
        <w:t>Norwa</w:t>
      </w:r>
      <w:r w:rsidRPr="00F27A74">
        <w:rPr>
          <w:rFonts w:ascii="Arial" w:hAnsi="Arial" w:cs="Arial"/>
          <w:noProof/>
          <w:sz w:val="18"/>
          <w:szCs w:val="18"/>
          <w:lang w:val="en-US"/>
        </w:rPr>
        <w:t>y</w:t>
      </w:r>
      <w:r>
        <w:rPr>
          <w:rFonts w:ascii="Arial" w:hAnsi="Arial" w:cs="Arial"/>
          <w:noProof/>
          <w:sz w:val="18"/>
          <w:szCs w:val="18"/>
          <w:lang w:val="en-US"/>
        </w:rPr>
        <w:t xml:space="preserve">, </w:t>
      </w:r>
      <w:hyperlink r:id="rId7" w:history="1">
        <w:r w:rsidR="000C1B5A" w:rsidRPr="00120C8A">
          <w:rPr>
            <w:rStyle w:val="Hyperlink"/>
            <w:rFonts w:ascii="Arial" w:hAnsi="Arial" w:cs="Arial"/>
            <w:noProof/>
            <w:sz w:val="18"/>
            <w:szCs w:val="18"/>
            <w:lang w:val="en-US"/>
          </w:rPr>
          <w:t>armin.wisthaler@kjemi.uio.no</w:t>
        </w:r>
      </w:hyperlink>
    </w:p>
    <w:p w:rsidR="00F27A74" w:rsidRPr="00AB7D92" w:rsidRDefault="00F27A74" w:rsidP="00DF6705">
      <w:pPr>
        <w:spacing w:after="120"/>
        <w:rPr>
          <w:rFonts w:ascii="Arial" w:hAnsi="Arial" w:cs="Arial"/>
          <w:noProof/>
          <w:sz w:val="18"/>
          <w:szCs w:val="18"/>
          <w:lang w:val="en-US"/>
        </w:rPr>
      </w:pPr>
    </w:p>
    <w:p w:rsidR="00241318" w:rsidRPr="00F27A74" w:rsidRDefault="00241318">
      <w:pPr>
        <w:rPr>
          <w:lang w:val="en-US"/>
        </w:rPr>
      </w:pPr>
    </w:p>
    <w:p w:rsidR="003646BD" w:rsidRDefault="006E4840" w:rsidP="003646BD">
      <w:pPr>
        <w:jc w:val="both"/>
        <w:rPr>
          <w:rFonts w:ascii="Arial" w:hAnsi="Arial" w:cs="Arial"/>
          <w:noProof/>
          <w:sz w:val="20"/>
          <w:szCs w:val="20"/>
          <w:lang w:val="en-US"/>
        </w:rPr>
      </w:pPr>
      <w:r>
        <w:rPr>
          <w:rFonts w:ascii="Arial" w:hAnsi="Arial" w:cs="Arial"/>
          <w:noProof/>
          <w:sz w:val="20"/>
          <w:szCs w:val="20"/>
          <w:lang w:val="en-US"/>
        </w:rPr>
        <w:t>P</w:t>
      </w:r>
      <w:r w:rsidR="001F2382" w:rsidRPr="001F2382">
        <w:rPr>
          <w:rFonts w:ascii="Arial" w:hAnsi="Arial" w:cs="Arial"/>
          <w:noProof/>
          <w:sz w:val="20"/>
          <w:szCs w:val="20"/>
          <w:lang w:val="en-US"/>
        </w:rPr>
        <w:t>ersistent organic pollutants (POPs)</w:t>
      </w:r>
      <w:r>
        <w:rPr>
          <w:rFonts w:ascii="Arial" w:hAnsi="Arial" w:cs="Arial"/>
          <w:noProof/>
          <w:sz w:val="20"/>
          <w:szCs w:val="20"/>
          <w:lang w:val="en-US"/>
        </w:rPr>
        <w:t xml:space="preserve"> </w:t>
      </w:r>
      <w:r w:rsidR="00F11E7A">
        <w:rPr>
          <w:rFonts w:ascii="Arial" w:hAnsi="Arial" w:cs="Arial"/>
          <w:noProof/>
          <w:sz w:val="20"/>
          <w:szCs w:val="20"/>
          <w:lang w:val="en-US"/>
        </w:rPr>
        <w:t>such as</w:t>
      </w:r>
      <w:r>
        <w:rPr>
          <w:rFonts w:ascii="Arial" w:hAnsi="Arial" w:cs="Arial"/>
          <w:noProof/>
          <w:sz w:val="20"/>
          <w:szCs w:val="20"/>
          <w:lang w:val="en-US"/>
        </w:rPr>
        <w:t xml:space="preserve"> </w:t>
      </w:r>
      <w:r w:rsidR="001F2382" w:rsidRPr="001F2382">
        <w:rPr>
          <w:rFonts w:ascii="Arial" w:hAnsi="Arial" w:cs="Arial"/>
          <w:noProof/>
          <w:sz w:val="20"/>
          <w:szCs w:val="20"/>
          <w:lang w:val="en-US"/>
        </w:rPr>
        <w:t xml:space="preserve">hexachlorobenzene (HCB) </w:t>
      </w:r>
      <w:r>
        <w:rPr>
          <w:rFonts w:ascii="Arial" w:hAnsi="Arial" w:cs="Arial"/>
          <w:noProof/>
          <w:sz w:val="20"/>
          <w:szCs w:val="20"/>
          <w:lang w:val="en-US"/>
        </w:rPr>
        <w:t>are</w:t>
      </w:r>
      <w:r w:rsidR="001F2382" w:rsidRPr="001F2382">
        <w:rPr>
          <w:rFonts w:ascii="Arial" w:hAnsi="Arial" w:cs="Arial"/>
          <w:noProof/>
          <w:sz w:val="20"/>
          <w:szCs w:val="20"/>
          <w:lang w:val="en-US"/>
        </w:rPr>
        <w:t xml:space="preserve"> known to be persistent, bioaccumulative, and toxic. Due to insignificant physicochemical elimination and slow microbial degradation, </w:t>
      </w:r>
      <w:r w:rsidR="00AD6671">
        <w:rPr>
          <w:rFonts w:ascii="Arial" w:hAnsi="Arial" w:cs="Arial"/>
          <w:noProof/>
          <w:sz w:val="20"/>
          <w:szCs w:val="20"/>
          <w:lang w:val="en-US"/>
        </w:rPr>
        <w:t>they can persist</w:t>
      </w:r>
      <w:r w:rsidR="001F2382" w:rsidRPr="001F2382">
        <w:rPr>
          <w:rFonts w:ascii="Arial" w:hAnsi="Arial" w:cs="Arial"/>
          <w:noProof/>
          <w:sz w:val="20"/>
          <w:szCs w:val="20"/>
          <w:lang w:val="en-US"/>
        </w:rPr>
        <w:t xml:space="preserve"> in environmental media </w:t>
      </w:r>
      <w:r w:rsidR="00AD6671">
        <w:rPr>
          <w:rFonts w:ascii="Arial" w:hAnsi="Arial" w:cs="Arial"/>
          <w:noProof/>
          <w:sz w:val="20"/>
          <w:szCs w:val="20"/>
          <w:lang w:val="en-US"/>
        </w:rPr>
        <w:t>for many</w:t>
      </w:r>
      <w:r w:rsidR="001F2382" w:rsidRPr="001F2382">
        <w:rPr>
          <w:rFonts w:ascii="Arial" w:hAnsi="Arial" w:cs="Arial"/>
          <w:noProof/>
          <w:sz w:val="20"/>
          <w:szCs w:val="20"/>
          <w:lang w:val="en-US"/>
        </w:rPr>
        <w:t xml:space="preserve"> decades. However, under reductive conditions </w:t>
      </w:r>
      <w:r>
        <w:rPr>
          <w:rFonts w:ascii="Arial" w:hAnsi="Arial" w:cs="Arial"/>
          <w:noProof/>
          <w:sz w:val="20"/>
          <w:szCs w:val="20"/>
          <w:lang w:val="en-US"/>
        </w:rPr>
        <w:t xml:space="preserve">we successfully </w:t>
      </w:r>
      <w:r w:rsidR="00F11E7A">
        <w:rPr>
          <w:rFonts w:ascii="Arial" w:hAnsi="Arial" w:cs="Arial"/>
          <w:noProof/>
          <w:sz w:val="20"/>
          <w:szCs w:val="20"/>
          <w:lang w:val="en-US"/>
        </w:rPr>
        <w:t>demonstr</w:t>
      </w:r>
      <w:r>
        <w:rPr>
          <w:rFonts w:ascii="Arial" w:hAnsi="Arial" w:cs="Arial"/>
          <w:noProof/>
          <w:sz w:val="20"/>
          <w:szCs w:val="20"/>
          <w:lang w:val="en-US"/>
        </w:rPr>
        <w:t xml:space="preserve">ated the </w:t>
      </w:r>
      <w:r w:rsidR="001F2382" w:rsidRPr="001F2382">
        <w:rPr>
          <w:rFonts w:ascii="Arial" w:hAnsi="Arial" w:cs="Arial"/>
          <w:noProof/>
          <w:sz w:val="20"/>
          <w:szCs w:val="20"/>
          <w:lang w:val="en-US"/>
        </w:rPr>
        <w:t>dehalogenation</w:t>
      </w:r>
      <w:r>
        <w:rPr>
          <w:rFonts w:ascii="Arial" w:hAnsi="Arial" w:cs="Arial"/>
          <w:noProof/>
          <w:sz w:val="20"/>
          <w:szCs w:val="20"/>
          <w:lang w:val="en-US"/>
        </w:rPr>
        <w:t xml:space="preserve"> of several POPs </w:t>
      </w:r>
      <w:r w:rsidRPr="001F2382">
        <w:rPr>
          <w:rFonts w:ascii="Arial" w:hAnsi="Arial" w:cs="Arial"/>
          <w:noProof/>
          <w:sz w:val="20"/>
          <w:szCs w:val="20"/>
          <w:lang w:val="en-US"/>
        </w:rPr>
        <w:t xml:space="preserve">in the presence of </w:t>
      </w:r>
      <w:r>
        <w:rPr>
          <w:rFonts w:ascii="Arial" w:hAnsi="Arial" w:cs="Arial"/>
          <w:noProof/>
          <w:sz w:val="20"/>
          <w:szCs w:val="20"/>
          <w:lang w:val="en-US"/>
        </w:rPr>
        <w:t xml:space="preserve">zerovalent palladium [Pd(0)] </w:t>
      </w:r>
      <w:r w:rsidRPr="001F2382">
        <w:rPr>
          <w:rFonts w:ascii="Arial" w:hAnsi="Arial" w:cs="Arial"/>
          <w:noProof/>
          <w:sz w:val="20"/>
          <w:szCs w:val="20"/>
          <w:lang w:val="en-US"/>
        </w:rPr>
        <w:t>nano</w:t>
      </w:r>
      <w:r>
        <w:rPr>
          <w:rFonts w:ascii="Arial" w:hAnsi="Arial" w:cs="Arial"/>
          <w:noProof/>
          <w:sz w:val="20"/>
          <w:szCs w:val="20"/>
          <w:lang w:val="en-US"/>
        </w:rPr>
        <w:t xml:space="preserve">particles as </w:t>
      </w:r>
      <w:r w:rsidRPr="001F2382">
        <w:rPr>
          <w:rFonts w:ascii="Arial" w:hAnsi="Arial" w:cs="Arial"/>
          <w:noProof/>
          <w:sz w:val="20"/>
          <w:szCs w:val="20"/>
          <w:lang w:val="en-US"/>
        </w:rPr>
        <w:t>catalysts</w:t>
      </w:r>
      <w:r>
        <w:rPr>
          <w:rFonts w:ascii="Arial" w:hAnsi="Arial" w:cs="Arial"/>
          <w:noProof/>
          <w:sz w:val="20"/>
          <w:szCs w:val="20"/>
          <w:lang w:val="en-US"/>
        </w:rPr>
        <w:t xml:space="preserve">. </w:t>
      </w:r>
      <w:r w:rsidR="00070BC5" w:rsidRPr="003646BD">
        <w:rPr>
          <w:rFonts w:ascii="Arial" w:hAnsi="Arial" w:cs="Arial"/>
          <w:noProof/>
          <w:sz w:val="20"/>
          <w:szCs w:val="20"/>
          <w:lang w:val="en-US"/>
        </w:rPr>
        <w:t>Novel Pd(0) nanocatalysts, synthesized by controlled coalescence (D90: 63 nm), have shown a rapid dechlorination of HCB</w:t>
      </w:r>
      <w:r w:rsidR="00A95B34">
        <w:rPr>
          <w:rFonts w:ascii="Arial" w:hAnsi="Arial" w:cs="Arial"/>
          <w:noProof/>
          <w:sz w:val="20"/>
          <w:szCs w:val="20"/>
          <w:lang w:val="en-US"/>
        </w:rPr>
        <w:t xml:space="preserve"> </w:t>
      </w:r>
      <w:r w:rsidR="002B4B42">
        <w:rPr>
          <w:rFonts w:ascii="Arial" w:hAnsi="Arial" w:cs="Arial"/>
          <w:noProof/>
          <w:sz w:val="20"/>
          <w:szCs w:val="20"/>
          <w:lang w:val="en-US"/>
        </w:rPr>
        <w:t>to benzene</w:t>
      </w:r>
      <w:r w:rsidR="00070BC5" w:rsidRPr="003646BD">
        <w:rPr>
          <w:rFonts w:ascii="Arial" w:hAnsi="Arial" w:cs="Arial"/>
          <w:noProof/>
          <w:sz w:val="20"/>
          <w:szCs w:val="20"/>
          <w:lang w:val="en-US"/>
        </w:rPr>
        <w:t>.</w:t>
      </w:r>
      <w:r w:rsidR="00E25EED">
        <w:rPr>
          <w:rFonts w:ascii="Arial" w:hAnsi="Arial" w:cs="Arial"/>
          <w:noProof/>
          <w:sz w:val="20"/>
          <w:szCs w:val="20"/>
          <w:lang w:val="en-US"/>
        </w:rPr>
        <w:t xml:space="preserve"> </w:t>
      </w:r>
      <w:r w:rsidR="001F2382" w:rsidRPr="001F2382">
        <w:rPr>
          <w:rFonts w:ascii="Arial" w:hAnsi="Arial" w:cs="Arial"/>
          <w:noProof/>
          <w:sz w:val="20"/>
          <w:szCs w:val="20"/>
          <w:lang w:val="en-US"/>
        </w:rPr>
        <w:t xml:space="preserve">HCB </w:t>
      </w:r>
      <w:r w:rsidR="00AD6671">
        <w:rPr>
          <w:rFonts w:ascii="Arial" w:hAnsi="Arial" w:cs="Arial"/>
          <w:noProof/>
          <w:sz w:val="20"/>
          <w:szCs w:val="20"/>
          <w:lang w:val="en-US"/>
        </w:rPr>
        <w:t>at</w:t>
      </w:r>
      <w:r w:rsidR="00E25EED">
        <w:rPr>
          <w:rFonts w:ascii="Arial" w:hAnsi="Arial" w:cs="Arial"/>
          <w:noProof/>
          <w:sz w:val="20"/>
          <w:szCs w:val="20"/>
          <w:lang w:val="en-US"/>
        </w:rPr>
        <w:t xml:space="preserve"> environmental relevant water concentrations </w:t>
      </w:r>
      <w:r>
        <w:rPr>
          <w:rFonts w:ascii="Arial" w:hAnsi="Arial" w:cs="Arial"/>
          <w:noProof/>
          <w:sz w:val="20"/>
          <w:szCs w:val="20"/>
          <w:lang w:val="en-US"/>
        </w:rPr>
        <w:t>was fully dehalogenated within minutes.</w:t>
      </w:r>
      <w:r w:rsidR="00E25EED">
        <w:rPr>
          <w:rFonts w:ascii="Arial" w:hAnsi="Arial" w:cs="Arial"/>
          <w:noProof/>
          <w:sz w:val="20"/>
          <w:szCs w:val="20"/>
          <w:lang w:val="en-US"/>
        </w:rPr>
        <w:t xml:space="preserve"> </w:t>
      </w:r>
      <w:r w:rsidR="003646BD" w:rsidRPr="003646BD">
        <w:rPr>
          <w:rFonts w:ascii="Arial" w:hAnsi="Arial" w:cs="Arial"/>
          <w:noProof/>
          <w:sz w:val="20"/>
          <w:szCs w:val="20"/>
          <w:lang w:val="en-US"/>
        </w:rPr>
        <w:t>The high HCB dechlorination rate of A</w:t>
      </w:r>
      <w:r w:rsidR="003646BD" w:rsidRPr="003646BD">
        <w:rPr>
          <w:rFonts w:ascii="Arial" w:hAnsi="Arial" w:cs="Arial"/>
          <w:noProof/>
          <w:sz w:val="20"/>
          <w:szCs w:val="20"/>
          <w:vertAlign w:val="subscript"/>
          <w:lang w:val="en-US"/>
        </w:rPr>
        <w:t xml:space="preserve">Pd,HCB </w:t>
      </w:r>
      <w:r w:rsidR="003646BD" w:rsidRPr="003646BD">
        <w:rPr>
          <w:rFonts w:ascii="Arial" w:hAnsi="Arial" w:cs="Arial"/>
          <w:noProof/>
          <w:sz w:val="20"/>
          <w:szCs w:val="20"/>
          <w:lang w:val="en-US"/>
        </w:rPr>
        <w:t xml:space="preserve">= </w:t>
      </w:r>
      <w:r w:rsidR="00E25EED">
        <w:rPr>
          <w:rFonts w:ascii="Arial" w:hAnsi="Arial" w:cs="Arial"/>
          <w:noProof/>
          <w:sz w:val="20"/>
          <w:szCs w:val="20"/>
          <w:lang w:val="en-US"/>
        </w:rPr>
        <w:t>420</w:t>
      </w:r>
      <w:r w:rsidR="003646BD" w:rsidRPr="003646BD">
        <w:rPr>
          <w:rFonts w:ascii="Arial" w:hAnsi="Arial" w:cs="Arial"/>
          <w:noProof/>
          <w:sz w:val="20"/>
          <w:szCs w:val="20"/>
          <w:lang w:val="en-US"/>
        </w:rPr>
        <w:t xml:space="preserve"> L g</w:t>
      </w:r>
      <w:r w:rsidR="003646BD" w:rsidRPr="003646BD">
        <w:rPr>
          <w:rFonts w:ascii="Arial" w:hAnsi="Arial" w:cs="Arial"/>
          <w:noProof/>
          <w:sz w:val="20"/>
          <w:szCs w:val="20"/>
          <w:vertAlign w:val="superscript"/>
          <w:lang w:val="en-US"/>
        </w:rPr>
        <w:t xml:space="preserve">-1 </w:t>
      </w:r>
      <w:r w:rsidR="003646BD" w:rsidRPr="003646BD">
        <w:rPr>
          <w:rFonts w:ascii="Arial" w:hAnsi="Arial" w:cs="Arial"/>
          <w:noProof/>
          <w:sz w:val="20"/>
          <w:szCs w:val="20"/>
          <w:lang w:val="en-US"/>
        </w:rPr>
        <w:t>min</w:t>
      </w:r>
      <w:r w:rsidR="003646BD" w:rsidRPr="003646BD">
        <w:rPr>
          <w:rFonts w:ascii="Arial" w:hAnsi="Arial" w:cs="Arial"/>
          <w:noProof/>
          <w:sz w:val="20"/>
          <w:szCs w:val="20"/>
          <w:vertAlign w:val="superscript"/>
          <w:lang w:val="en-US"/>
        </w:rPr>
        <w:t xml:space="preserve">-1 </w:t>
      </w:r>
      <w:r w:rsidR="00E25EED" w:rsidRPr="003646BD">
        <w:rPr>
          <w:rFonts w:ascii="Arial" w:hAnsi="Arial" w:cs="Arial"/>
          <w:noProof/>
          <w:sz w:val="20"/>
          <w:szCs w:val="20"/>
          <w:lang w:val="en-US"/>
        </w:rPr>
        <w:t>(C</w:t>
      </w:r>
      <w:r w:rsidR="00E25EED" w:rsidRPr="003646BD">
        <w:rPr>
          <w:rFonts w:ascii="Arial" w:hAnsi="Arial" w:cs="Arial"/>
          <w:noProof/>
          <w:sz w:val="20"/>
          <w:szCs w:val="20"/>
          <w:vertAlign w:val="subscript"/>
          <w:lang w:val="en-US"/>
        </w:rPr>
        <w:t xml:space="preserve">HCB </w:t>
      </w:r>
      <w:r w:rsidR="00E25EED" w:rsidRPr="003646BD">
        <w:rPr>
          <w:rFonts w:ascii="Arial" w:hAnsi="Arial" w:cs="Arial"/>
          <w:noProof/>
          <w:sz w:val="20"/>
          <w:szCs w:val="20"/>
          <w:lang w:val="en-US"/>
        </w:rPr>
        <w:t xml:space="preserve">= 3 </w:t>
      </w:r>
      <w:r w:rsidR="00E25EED" w:rsidRPr="003646BD">
        <w:rPr>
          <w:rFonts w:ascii="Arial" w:hAnsi="Arial" w:cs="Arial"/>
          <w:i/>
          <w:noProof/>
          <w:sz w:val="20"/>
          <w:szCs w:val="20"/>
          <w:lang w:val="en-US"/>
        </w:rPr>
        <w:t>µ</w:t>
      </w:r>
      <w:r w:rsidR="00E25EED" w:rsidRPr="003646BD">
        <w:rPr>
          <w:rFonts w:ascii="Arial" w:hAnsi="Arial" w:cs="Arial"/>
          <w:noProof/>
          <w:sz w:val="20"/>
          <w:szCs w:val="20"/>
          <w:lang w:val="en-US"/>
        </w:rPr>
        <w:t>g L</w:t>
      </w:r>
      <w:r w:rsidR="00E25EED" w:rsidRPr="003646BD">
        <w:rPr>
          <w:rFonts w:ascii="Arial" w:hAnsi="Arial" w:cs="Arial"/>
          <w:noProof/>
          <w:sz w:val="20"/>
          <w:szCs w:val="20"/>
          <w:vertAlign w:val="superscript"/>
          <w:lang w:val="en-US"/>
        </w:rPr>
        <w:t>-1</w:t>
      </w:r>
      <w:r w:rsidR="00E25EED" w:rsidRPr="003646BD">
        <w:rPr>
          <w:rFonts w:ascii="Arial" w:hAnsi="Arial" w:cs="Arial"/>
          <w:noProof/>
          <w:sz w:val="20"/>
          <w:szCs w:val="20"/>
          <w:lang w:val="en-US"/>
        </w:rPr>
        <w:t xml:space="preserve">) </w:t>
      </w:r>
      <w:r w:rsidR="003646BD" w:rsidRPr="003646BD">
        <w:rPr>
          <w:rFonts w:ascii="Arial" w:hAnsi="Arial" w:cs="Arial"/>
          <w:noProof/>
          <w:sz w:val="20"/>
          <w:szCs w:val="20"/>
          <w:lang w:val="en-US"/>
        </w:rPr>
        <w:t xml:space="preserve">complicates </w:t>
      </w:r>
      <w:r w:rsidR="00BA1208">
        <w:rPr>
          <w:rFonts w:ascii="Arial" w:hAnsi="Arial" w:cs="Arial"/>
          <w:noProof/>
          <w:sz w:val="20"/>
          <w:szCs w:val="20"/>
          <w:lang w:val="en-US"/>
        </w:rPr>
        <w:t xml:space="preserve">elucidation of dehalogenation processes and </w:t>
      </w:r>
      <w:r w:rsidR="00BA1208" w:rsidRPr="003646BD">
        <w:rPr>
          <w:rFonts w:ascii="Arial" w:hAnsi="Arial" w:cs="Arial"/>
          <w:noProof/>
          <w:sz w:val="20"/>
          <w:szCs w:val="20"/>
          <w:lang w:val="en-US"/>
        </w:rPr>
        <w:t xml:space="preserve">reaction kinetics </w:t>
      </w:r>
      <w:r w:rsidR="00BA1208">
        <w:rPr>
          <w:rFonts w:ascii="Arial" w:hAnsi="Arial" w:cs="Arial"/>
          <w:noProof/>
          <w:sz w:val="20"/>
          <w:szCs w:val="20"/>
          <w:lang w:val="en-US"/>
        </w:rPr>
        <w:t xml:space="preserve">with high temporal resolution </w:t>
      </w:r>
      <w:r w:rsidR="003646BD" w:rsidRPr="003646BD">
        <w:rPr>
          <w:rFonts w:ascii="Arial" w:hAnsi="Arial" w:cs="Arial"/>
          <w:noProof/>
          <w:sz w:val="20"/>
          <w:szCs w:val="20"/>
          <w:lang w:val="en-US"/>
        </w:rPr>
        <w:t xml:space="preserve">by conventional off-line analysis such as </w:t>
      </w:r>
      <w:r w:rsidR="00BA1208">
        <w:rPr>
          <w:rFonts w:ascii="Arial" w:hAnsi="Arial" w:cs="Arial"/>
          <w:noProof/>
          <w:sz w:val="20"/>
          <w:szCs w:val="20"/>
          <w:lang w:val="en-US"/>
        </w:rPr>
        <w:t>GC-MS</w:t>
      </w:r>
      <w:r w:rsidR="003646BD" w:rsidRPr="003646BD">
        <w:rPr>
          <w:rFonts w:ascii="Arial" w:hAnsi="Arial" w:cs="Arial"/>
          <w:noProof/>
          <w:sz w:val="20"/>
          <w:szCs w:val="20"/>
          <w:lang w:val="en-US"/>
        </w:rPr>
        <w:t>.</w:t>
      </w:r>
      <w:r w:rsidR="00BA1208">
        <w:rPr>
          <w:rFonts w:ascii="Arial" w:hAnsi="Arial" w:cs="Arial"/>
          <w:noProof/>
          <w:sz w:val="20"/>
          <w:szCs w:val="20"/>
          <w:lang w:val="en-US"/>
        </w:rPr>
        <w:t xml:space="preserve"> </w:t>
      </w:r>
    </w:p>
    <w:p w:rsidR="003646BD" w:rsidRPr="003646BD" w:rsidRDefault="003646BD" w:rsidP="003646BD">
      <w:pPr>
        <w:jc w:val="both"/>
        <w:rPr>
          <w:rFonts w:ascii="Arial" w:hAnsi="Arial" w:cs="Arial"/>
          <w:noProof/>
          <w:sz w:val="20"/>
          <w:szCs w:val="20"/>
          <w:lang w:val="en-US"/>
        </w:rPr>
      </w:pPr>
    </w:p>
    <w:p w:rsidR="003646BD" w:rsidRDefault="003646BD" w:rsidP="003646BD">
      <w:pPr>
        <w:jc w:val="both"/>
        <w:rPr>
          <w:rFonts w:ascii="Arial" w:hAnsi="Arial" w:cs="Arial"/>
          <w:noProof/>
          <w:sz w:val="20"/>
          <w:szCs w:val="20"/>
          <w:lang w:val="en-US"/>
        </w:rPr>
      </w:pPr>
      <w:r w:rsidRPr="0080733C">
        <w:rPr>
          <w:rFonts w:ascii="Arial" w:hAnsi="Arial" w:cs="Arial"/>
          <w:noProof/>
          <w:sz w:val="20"/>
          <w:szCs w:val="20"/>
          <w:lang w:val="en-US"/>
        </w:rPr>
        <w:t>Proton Tr</w:t>
      </w:r>
      <w:r>
        <w:rPr>
          <w:rFonts w:ascii="Arial" w:hAnsi="Arial" w:cs="Arial"/>
          <w:noProof/>
          <w:sz w:val="20"/>
          <w:szCs w:val="20"/>
          <w:lang w:val="en-US"/>
        </w:rPr>
        <w:t>ansfer Reaction Time-of-Flight</w:t>
      </w:r>
      <w:r w:rsidRPr="0080733C">
        <w:rPr>
          <w:rFonts w:ascii="Arial" w:hAnsi="Arial" w:cs="Arial"/>
          <w:noProof/>
          <w:sz w:val="20"/>
          <w:szCs w:val="20"/>
          <w:lang w:val="en-US"/>
        </w:rPr>
        <w:t xml:space="preserve"> Mass Spectrometry </w:t>
      </w:r>
      <w:r>
        <w:rPr>
          <w:rFonts w:ascii="Arial" w:hAnsi="Arial" w:cs="Arial"/>
          <w:noProof/>
          <w:sz w:val="20"/>
          <w:szCs w:val="20"/>
          <w:lang w:val="en-US"/>
        </w:rPr>
        <w:t>(</w:t>
      </w:r>
      <w:r w:rsidRPr="009E088C">
        <w:rPr>
          <w:rFonts w:ascii="Arial" w:hAnsi="Arial" w:cs="Arial"/>
          <w:noProof/>
          <w:sz w:val="20"/>
          <w:szCs w:val="20"/>
          <w:lang w:val="en-US"/>
        </w:rPr>
        <w:t>PTR-ToF-MS</w:t>
      </w:r>
      <w:r>
        <w:rPr>
          <w:rFonts w:ascii="Arial" w:hAnsi="Arial" w:cs="Arial"/>
          <w:noProof/>
          <w:sz w:val="20"/>
          <w:szCs w:val="20"/>
          <w:lang w:val="en-US"/>
        </w:rPr>
        <w:t>)</w:t>
      </w:r>
      <w:r w:rsidRPr="003646BD">
        <w:rPr>
          <w:rFonts w:ascii="Arial" w:hAnsi="Arial" w:cs="Arial"/>
          <w:noProof/>
          <w:sz w:val="20"/>
          <w:szCs w:val="20"/>
          <w:lang w:val="en-US"/>
        </w:rPr>
        <w:t xml:space="preserve"> is a state-of-the-art technique for on-line and real-time monitoring of volatile organic compounds (VOCs) without sample preparation, solvent extraction and clean-up steps. With its high mass resolving power of &gt; 4000 M/ΔM, reaching a limit of detection below 5 pptV and sensitivity of more than 120 cps/ppbV for </w:t>
      </w:r>
      <w:r w:rsidRPr="003646BD">
        <w:rPr>
          <w:rFonts w:ascii="Arial" w:hAnsi="Arial" w:cs="Arial"/>
          <w:i/>
          <w:noProof/>
          <w:sz w:val="20"/>
          <w:szCs w:val="20"/>
          <w:lang w:val="en-US"/>
        </w:rPr>
        <w:t>e.g.</w:t>
      </w:r>
      <w:r w:rsidRPr="003646BD">
        <w:rPr>
          <w:rFonts w:ascii="Arial" w:hAnsi="Arial" w:cs="Arial"/>
          <w:noProof/>
          <w:sz w:val="20"/>
          <w:szCs w:val="20"/>
          <w:lang w:val="en-US"/>
        </w:rPr>
        <w:t xml:space="preserve"> benzene, it is </w:t>
      </w:r>
      <w:r w:rsidR="00E25EED">
        <w:rPr>
          <w:rFonts w:ascii="Arial" w:hAnsi="Arial" w:cs="Arial"/>
          <w:noProof/>
          <w:sz w:val="20"/>
          <w:szCs w:val="20"/>
          <w:lang w:val="en-US"/>
        </w:rPr>
        <w:t>very promising</w:t>
      </w:r>
      <w:r w:rsidRPr="003646BD">
        <w:rPr>
          <w:rFonts w:ascii="Arial" w:hAnsi="Arial" w:cs="Arial"/>
          <w:noProof/>
          <w:sz w:val="20"/>
          <w:szCs w:val="20"/>
          <w:lang w:val="en-US"/>
        </w:rPr>
        <w:t xml:space="preserve"> </w:t>
      </w:r>
      <w:r w:rsidR="00E25EED">
        <w:rPr>
          <w:rFonts w:ascii="Arial" w:hAnsi="Arial" w:cs="Arial"/>
          <w:noProof/>
          <w:sz w:val="20"/>
          <w:szCs w:val="20"/>
          <w:lang w:val="en-US"/>
        </w:rPr>
        <w:t>for</w:t>
      </w:r>
      <w:r w:rsidRPr="003646BD">
        <w:rPr>
          <w:rFonts w:ascii="Arial" w:hAnsi="Arial" w:cs="Arial"/>
          <w:noProof/>
          <w:sz w:val="20"/>
          <w:szCs w:val="20"/>
          <w:lang w:val="en-US"/>
        </w:rPr>
        <w:t xml:space="preserve"> environmental analysis.</w:t>
      </w:r>
    </w:p>
    <w:p w:rsidR="003646BD" w:rsidRPr="003646BD" w:rsidRDefault="003646BD" w:rsidP="003646BD">
      <w:pPr>
        <w:jc w:val="both"/>
        <w:rPr>
          <w:rFonts w:ascii="Arial" w:hAnsi="Arial" w:cs="Arial"/>
          <w:noProof/>
          <w:sz w:val="20"/>
          <w:szCs w:val="20"/>
          <w:lang w:val="en-US"/>
        </w:rPr>
      </w:pPr>
    </w:p>
    <w:p w:rsidR="003646BD" w:rsidRDefault="003646BD" w:rsidP="003646BD">
      <w:pPr>
        <w:jc w:val="both"/>
        <w:rPr>
          <w:rFonts w:ascii="Arial" w:hAnsi="Arial" w:cs="Arial"/>
          <w:noProof/>
          <w:sz w:val="20"/>
          <w:szCs w:val="20"/>
          <w:lang w:val="en-US"/>
        </w:rPr>
      </w:pPr>
      <w:r w:rsidRPr="003646BD">
        <w:rPr>
          <w:rFonts w:ascii="Arial" w:hAnsi="Arial" w:cs="Arial"/>
          <w:noProof/>
          <w:sz w:val="20"/>
          <w:szCs w:val="20"/>
          <w:lang w:val="en-US"/>
        </w:rPr>
        <w:t xml:space="preserve">For the present experimental setup, </w:t>
      </w:r>
      <w:r w:rsidRPr="003646BD">
        <w:rPr>
          <w:rFonts w:ascii="Arial" w:hAnsi="Arial" w:cs="Arial"/>
          <w:i/>
          <w:noProof/>
          <w:sz w:val="20"/>
          <w:szCs w:val="20"/>
          <w:lang w:val="en-US"/>
        </w:rPr>
        <w:t>nano</w:t>
      </w:r>
      <w:r w:rsidRPr="003646BD">
        <w:rPr>
          <w:rFonts w:ascii="Arial" w:hAnsi="Arial" w:cs="Arial"/>
          <w:noProof/>
          <w:sz w:val="20"/>
          <w:szCs w:val="20"/>
          <w:lang w:val="en-US"/>
        </w:rPr>
        <w:t xml:space="preserve">Pd(0)-catalyzed dehalogenation of HCB and </w:t>
      </w:r>
      <w:r w:rsidR="00E25EED">
        <w:rPr>
          <w:rFonts w:ascii="Arial" w:hAnsi="Arial" w:cs="Arial"/>
          <w:noProof/>
          <w:sz w:val="20"/>
          <w:szCs w:val="20"/>
          <w:lang w:val="en-US"/>
        </w:rPr>
        <w:t>its</w:t>
      </w:r>
      <w:r w:rsidRPr="003646BD">
        <w:rPr>
          <w:rFonts w:ascii="Arial" w:hAnsi="Arial" w:cs="Arial"/>
          <w:noProof/>
          <w:sz w:val="20"/>
          <w:szCs w:val="20"/>
          <w:lang w:val="en-US"/>
        </w:rPr>
        <w:t xml:space="preserve"> potential dehalogenation intermediates was tested in separate experiments. The compounds were dissolved in ultra-pure water in airtight flasks and continuously purged with N</w:t>
      </w:r>
      <w:r w:rsidRPr="003646BD">
        <w:rPr>
          <w:rFonts w:ascii="Arial" w:hAnsi="Arial" w:cs="Arial"/>
          <w:noProof/>
          <w:sz w:val="20"/>
          <w:szCs w:val="20"/>
          <w:vertAlign w:val="subscript"/>
          <w:lang w:val="en-US"/>
        </w:rPr>
        <w:t>2</w:t>
      </w:r>
      <w:r w:rsidRPr="003646BD">
        <w:rPr>
          <w:rFonts w:ascii="Arial" w:hAnsi="Arial" w:cs="Arial"/>
          <w:noProof/>
          <w:sz w:val="20"/>
          <w:szCs w:val="20"/>
          <w:lang w:val="en-US"/>
        </w:rPr>
        <w:t>/H</w:t>
      </w:r>
      <w:r w:rsidRPr="003646BD">
        <w:rPr>
          <w:rFonts w:ascii="Arial" w:hAnsi="Arial" w:cs="Arial"/>
          <w:noProof/>
          <w:sz w:val="20"/>
          <w:szCs w:val="20"/>
          <w:vertAlign w:val="subscript"/>
          <w:lang w:val="en-US"/>
        </w:rPr>
        <w:t>2</w:t>
      </w:r>
      <w:r w:rsidRPr="003646BD">
        <w:rPr>
          <w:rFonts w:ascii="Arial" w:hAnsi="Arial" w:cs="Arial"/>
          <w:noProof/>
          <w:sz w:val="20"/>
          <w:szCs w:val="20"/>
          <w:lang w:val="en-US"/>
        </w:rPr>
        <w:t xml:space="preserve"> (98%/2%). After equilibrium of the parent compounds, the hydrogen-activated aqueous Pd(0) nanoparticle suspensions were injected. The headspace of the samples was continuously analyzed by PTR-ToF-MS using H</w:t>
      </w:r>
      <w:r w:rsidRPr="003646BD">
        <w:rPr>
          <w:rFonts w:ascii="Arial" w:hAnsi="Arial" w:cs="Arial"/>
          <w:noProof/>
          <w:sz w:val="20"/>
          <w:szCs w:val="20"/>
          <w:vertAlign w:val="subscript"/>
          <w:lang w:val="en-US"/>
        </w:rPr>
        <w:t>3</w:t>
      </w:r>
      <w:r w:rsidRPr="003646BD">
        <w:rPr>
          <w:rFonts w:ascii="Arial" w:hAnsi="Arial" w:cs="Arial"/>
          <w:noProof/>
          <w:sz w:val="20"/>
          <w:szCs w:val="20"/>
          <w:lang w:val="en-US"/>
        </w:rPr>
        <w:t>O</w:t>
      </w:r>
      <w:r w:rsidRPr="003646BD">
        <w:rPr>
          <w:rFonts w:ascii="Arial" w:hAnsi="Arial" w:cs="Arial"/>
          <w:noProof/>
          <w:sz w:val="20"/>
          <w:szCs w:val="20"/>
          <w:vertAlign w:val="superscript"/>
          <w:lang w:val="en-US"/>
        </w:rPr>
        <w:t>+</w:t>
      </w:r>
      <w:r w:rsidRPr="003646BD">
        <w:rPr>
          <w:rFonts w:ascii="Arial" w:hAnsi="Arial" w:cs="Arial"/>
          <w:noProof/>
          <w:sz w:val="20"/>
          <w:szCs w:val="20"/>
          <w:lang w:val="en-US"/>
        </w:rPr>
        <w:t xml:space="preserve"> or O</w:t>
      </w:r>
      <w:r w:rsidRPr="003646BD">
        <w:rPr>
          <w:rFonts w:ascii="Arial" w:hAnsi="Arial" w:cs="Arial"/>
          <w:noProof/>
          <w:sz w:val="20"/>
          <w:szCs w:val="20"/>
          <w:vertAlign w:val="subscript"/>
          <w:lang w:val="en-US"/>
        </w:rPr>
        <w:t>2</w:t>
      </w:r>
      <w:r w:rsidRPr="003646BD">
        <w:rPr>
          <w:rFonts w:ascii="Arial" w:hAnsi="Arial" w:cs="Arial"/>
          <w:noProof/>
          <w:sz w:val="20"/>
          <w:szCs w:val="20"/>
          <w:vertAlign w:val="superscript"/>
          <w:lang w:val="en-US"/>
        </w:rPr>
        <w:t>+</w:t>
      </w:r>
      <w:r w:rsidRPr="003646BD">
        <w:rPr>
          <w:rFonts w:ascii="Arial" w:hAnsi="Arial" w:cs="Arial"/>
          <w:noProof/>
          <w:sz w:val="20"/>
          <w:szCs w:val="20"/>
          <w:lang w:val="en-US"/>
        </w:rPr>
        <w:t xml:space="preserve"> as primary reactant at a time resolution of 10 s. Exemplarily, the dehalogenation of a saturated HCB solution </w:t>
      </w:r>
      <w:r w:rsidR="00F11E7A">
        <w:rPr>
          <w:rFonts w:ascii="Arial" w:hAnsi="Arial" w:cs="Arial"/>
          <w:noProof/>
          <w:sz w:val="20"/>
          <w:szCs w:val="20"/>
          <w:lang w:val="en-US"/>
        </w:rPr>
        <w:t>(</w:t>
      </w:r>
      <w:r w:rsidR="00F11E7A" w:rsidRPr="003646BD">
        <w:rPr>
          <w:rFonts w:ascii="Arial" w:hAnsi="Arial" w:cs="Arial"/>
          <w:noProof/>
          <w:sz w:val="20"/>
          <w:szCs w:val="20"/>
          <w:lang w:val="en-US"/>
        </w:rPr>
        <w:t>C</w:t>
      </w:r>
      <w:r w:rsidR="00F11E7A" w:rsidRPr="003646BD">
        <w:rPr>
          <w:rFonts w:ascii="Arial" w:hAnsi="Arial" w:cs="Arial"/>
          <w:noProof/>
          <w:sz w:val="20"/>
          <w:szCs w:val="20"/>
          <w:vertAlign w:val="subscript"/>
          <w:lang w:val="en-US"/>
        </w:rPr>
        <w:t xml:space="preserve">HCB </w:t>
      </w:r>
      <w:r w:rsidR="00F11E7A">
        <w:rPr>
          <w:rFonts w:ascii="Arial" w:hAnsi="Arial" w:cs="Arial"/>
          <w:noProof/>
          <w:sz w:val="20"/>
          <w:szCs w:val="20"/>
          <w:lang w:val="en-US"/>
        </w:rPr>
        <w:t>≈</w:t>
      </w:r>
      <w:r w:rsidR="00F11E7A" w:rsidRPr="003646BD">
        <w:rPr>
          <w:rFonts w:ascii="Arial" w:hAnsi="Arial" w:cs="Arial"/>
          <w:noProof/>
          <w:sz w:val="20"/>
          <w:szCs w:val="20"/>
          <w:lang w:val="en-US"/>
        </w:rPr>
        <w:t xml:space="preserve"> </w:t>
      </w:r>
      <w:r w:rsidR="00F11E7A">
        <w:rPr>
          <w:rFonts w:ascii="Arial" w:hAnsi="Arial" w:cs="Arial"/>
          <w:noProof/>
          <w:sz w:val="20"/>
          <w:szCs w:val="20"/>
          <w:lang w:val="en-US"/>
        </w:rPr>
        <w:t>6</w:t>
      </w:r>
      <w:r w:rsidR="00F11E7A" w:rsidRPr="003646BD">
        <w:rPr>
          <w:rFonts w:ascii="Arial" w:hAnsi="Arial" w:cs="Arial"/>
          <w:noProof/>
          <w:sz w:val="20"/>
          <w:szCs w:val="20"/>
          <w:lang w:val="en-US"/>
        </w:rPr>
        <w:t xml:space="preserve"> </w:t>
      </w:r>
      <w:r w:rsidR="00F11E7A" w:rsidRPr="00F11E7A">
        <w:rPr>
          <w:rFonts w:ascii="Arial" w:hAnsi="Arial" w:cs="Arial"/>
          <w:noProof/>
          <w:sz w:val="20"/>
          <w:szCs w:val="20"/>
          <w:lang w:val="en-US"/>
        </w:rPr>
        <w:t>µg</w:t>
      </w:r>
      <w:r w:rsidR="00F11E7A" w:rsidRPr="003646BD">
        <w:rPr>
          <w:rFonts w:ascii="Arial" w:hAnsi="Arial" w:cs="Arial"/>
          <w:noProof/>
          <w:sz w:val="20"/>
          <w:szCs w:val="20"/>
          <w:lang w:val="en-US"/>
        </w:rPr>
        <w:t xml:space="preserve"> L</w:t>
      </w:r>
      <w:r w:rsidR="00F11E7A" w:rsidRPr="003646BD">
        <w:rPr>
          <w:rFonts w:ascii="Arial" w:hAnsi="Arial" w:cs="Arial"/>
          <w:noProof/>
          <w:sz w:val="20"/>
          <w:szCs w:val="20"/>
          <w:vertAlign w:val="superscript"/>
          <w:lang w:val="en-US"/>
        </w:rPr>
        <w:t>-1</w:t>
      </w:r>
      <w:r w:rsidR="00F11E7A" w:rsidRPr="003646BD">
        <w:rPr>
          <w:rFonts w:ascii="Arial" w:hAnsi="Arial" w:cs="Arial"/>
          <w:noProof/>
          <w:sz w:val="20"/>
          <w:szCs w:val="20"/>
          <w:lang w:val="en-US"/>
        </w:rPr>
        <w:t>)</w:t>
      </w:r>
      <w:r w:rsidR="00F11E7A">
        <w:rPr>
          <w:rFonts w:ascii="Arial" w:hAnsi="Arial" w:cs="Arial"/>
          <w:noProof/>
          <w:sz w:val="20"/>
          <w:szCs w:val="20"/>
          <w:lang w:val="en-US"/>
        </w:rPr>
        <w:t xml:space="preserve"> </w:t>
      </w:r>
      <w:r w:rsidRPr="003646BD">
        <w:rPr>
          <w:rFonts w:ascii="Arial" w:hAnsi="Arial" w:cs="Arial"/>
          <w:noProof/>
          <w:sz w:val="20"/>
          <w:szCs w:val="20"/>
          <w:lang w:val="en-US"/>
        </w:rPr>
        <w:t xml:space="preserve">in the presence of 192 </w:t>
      </w:r>
      <w:r w:rsidR="00F11E7A">
        <w:rPr>
          <w:rFonts w:ascii="Arial" w:hAnsi="Arial" w:cs="Arial"/>
          <w:noProof/>
          <w:sz w:val="20"/>
          <w:szCs w:val="20"/>
          <w:lang w:val="en-US"/>
        </w:rPr>
        <w:t>µg L</w:t>
      </w:r>
      <w:r w:rsidR="00F11E7A" w:rsidRPr="00F11E7A">
        <w:rPr>
          <w:rFonts w:ascii="Arial" w:hAnsi="Arial" w:cs="Arial"/>
          <w:noProof/>
          <w:sz w:val="20"/>
          <w:szCs w:val="20"/>
          <w:vertAlign w:val="superscript"/>
          <w:lang w:val="en-US"/>
        </w:rPr>
        <w:t>-1</w:t>
      </w:r>
      <w:r w:rsidRPr="003646BD">
        <w:rPr>
          <w:rFonts w:ascii="Arial" w:hAnsi="Arial" w:cs="Arial"/>
          <w:noProof/>
          <w:sz w:val="20"/>
          <w:szCs w:val="20"/>
          <w:lang w:val="en-US"/>
        </w:rPr>
        <w:t xml:space="preserve"> Pd(0) nanocatalysts resulted in the immediate formation of 28 ppbV benzene, but depending on nanocatalyst types</w:t>
      </w:r>
      <w:r w:rsidR="006C38DF">
        <w:rPr>
          <w:rFonts w:ascii="Arial" w:hAnsi="Arial" w:cs="Arial"/>
          <w:noProof/>
          <w:sz w:val="20"/>
          <w:szCs w:val="20"/>
          <w:lang w:val="en-US"/>
        </w:rPr>
        <w:t xml:space="preserve"> and conc</w:t>
      </w:r>
      <w:r w:rsidRPr="003646BD">
        <w:rPr>
          <w:rFonts w:ascii="Arial" w:hAnsi="Arial" w:cs="Arial"/>
          <w:noProof/>
          <w:sz w:val="20"/>
          <w:szCs w:val="20"/>
          <w:lang w:val="en-US"/>
        </w:rPr>
        <w:t xml:space="preserve">entrations, different dehalogenation products and altered dehalogenation rates were observed. </w:t>
      </w:r>
    </w:p>
    <w:p w:rsidR="003646BD" w:rsidRPr="003646BD" w:rsidRDefault="003646BD" w:rsidP="003646BD">
      <w:pPr>
        <w:jc w:val="both"/>
        <w:rPr>
          <w:rFonts w:ascii="Arial" w:hAnsi="Arial" w:cs="Arial"/>
          <w:noProof/>
          <w:sz w:val="20"/>
          <w:szCs w:val="20"/>
          <w:lang w:val="en-US"/>
        </w:rPr>
      </w:pPr>
    </w:p>
    <w:p w:rsidR="003646BD" w:rsidRPr="003646BD" w:rsidRDefault="003646BD" w:rsidP="003646BD">
      <w:pPr>
        <w:jc w:val="both"/>
        <w:rPr>
          <w:rFonts w:ascii="Arial" w:hAnsi="Arial" w:cs="Arial"/>
          <w:noProof/>
          <w:sz w:val="20"/>
          <w:szCs w:val="20"/>
          <w:lang w:val="en-US"/>
        </w:rPr>
      </w:pPr>
      <w:r w:rsidRPr="003646BD">
        <w:rPr>
          <w:rFonts w:ascii="Arial" w:hAnsi="Arial" w:cs="Arial"/>
          <w:noProof/>
          <w:sz w:val="20"/>
          <w:szCs w:val="20"/>
          <w:lang w:val="en-US"/>
        </w:rPr>
        <w:t>To assess the stability of the nanocatalysts and to estimate their durability under environmental conditions, the approach was extended to experiments using different nanoparticle fractions, synthesis routes (including laser ablation and microbial</w:t>
      </w:r>
      <w:r w:rsidR="00F11E7A">
        <w:rPr>
          <w:rFonts w:ascii="Arial" w:hAnsi="Arial" w:cs="Arial"/>
          <w:noProof/>
          <w:sz w:val="20"/>
          <w:szCs w:val="20"/>
          <w:lang w:val="en-US"/>
        </w:rPr>
        <w:t>ly</w:t>
      </w:r>
      <w:r w:rsidRPr="003646BD">
        <w:rPr>
          <w:rFonts w:ascii="Arial" w:hAnsi="Arial" w:cs="Arial"/>
          <w:noProof/>
          <w:sz w:val="20"/>
          <w:szCs w:val="20"/>
          <w:lang w:val="en-US"/>
        </w:rPr>
        <w:t xml:space="preserve"> </w:t>
      </w:r>
      <w:r w:rsidR="00762EA5" w:rsidRPr="00762EA5">
        <w:rPr>
          <w:rFonts w:ascii="Arial" w:hAnsi="Arial" w:cs="Arial"/>
          <w:noProof/>
          <w:sz w:val="20"/>
          <w:szCs w:val="20"/>
          <w:lang w:val="en-US"/>
        </w:rPr>
        <w:t xml:space="preserve">synthesized </w:t>
      </w:r>
      <w:r w:rsidRPr="003646BD">
        <w:rPr>
          <w:rFonts w:ascii="Arial" w:hAnsi="Arial" w:cs="Arial"/>
          <w:noProof/>
          <w:sz w:val="20"/>
          <w:szCs w:val="20"/>
          <w:lang w:val="en-US"/>
        </w:rPr>
        <w:t xml:space="preserve">“bioPalladium”), </w:t>
      </w:r>
      <w:r w:rsidR="006C38DF">
        <w:rPr>
          <w:rFonts w:ascii="Arial" w:hAnsi="Arial" w:cs="Arial"/>
          <w:noProof/>
          <w:sz w:val="20"/>
          <w:szCs w:val="20"/>
          <w:lang w:val="en-US"/>
        </w:rPr>
        <w:t>controlled</w:t>
      </w:r>
      <w:r w:rsidRPr="003646BD">
        <w:rPr>
          <w:rFonts w:ascii="Arial" w:hAnsi="Arial" w:cs="Arial"/>
          <w:noProof/>
          <w:sz w:val="20"/>
          <w:szCs w:val="20"/>
          <w:lang w:val="en-US"/>
        </w:rPr>
        <w:t xml:space="preserve"> catalyst poisoning </w:t>
      </w:r>
      <w:r w:rsidR="006C38DF">
        <w:rPr>
          <w:rFonts w:ascii="Arial" w:hAnsi="Arial" w:cs="Arial"/>
          <w:noProof/>
          <w:sz w:val="20"/>
          <w:szCs w:val="20"/>
          <w:lang w:val="en-US"/>
        </w:rPr>
        <w:t>by</w:t>
      </w:r>
      <w:r w:rsidRPr="003646BD">
        <w:rPr>
          <w:rFonts w:ascii="Arial" w:hAnsi="Arial" w:cs="Arial"/>
          <w:noProof/>
          <w:sz w:val="20"/>
          <w:szCs w:val="20"/>
          <w:lang w:val="en-US"/>
        </w:rPr>
        <w:t xml:space="preserve"> reduced sulfur compounds, and oxidative catalyst inactivation. Further </w:t>
      </w:r>
      <w:r w:rsidR="006C38DF">
        <w:rPr>
          <w:rFonts w:ascii="Arial" w:hAnsi="Arial" w:cs="Arial"/>
          <w:noProof/>
          <w:sz w:val="20"/>
          <w:szCs w:val="20"/>
          <w:lang w:val="en-US"/>
        </w:rPr>
        <w:t xml:space="preserve">successful </w:t>
      </w:r>
      <w:r w:rsidRPr="003646BD">
        <w:rPr>
          <w:rFonts w:ascii="Arial" w:hAnsi="Arial" w:cs="Arial"/>
          <w:noProof/>
          <w:sz w:val="20"/>
          <w:szCs w:val="20"/>
          <w:lang w:val="en-US"/>
        </w:rPr>
        <w:t xml:space="preserve">tests with “old” and emerging persistent organic pollutants demonstrate the high potential of Pd(0) nanocatalysts for clean-up of drinking water, aquifers and specific municipal and industrial effluents, as well as the suitability of PTR-ToF-MS to assess </w:t>
      </w:r>
      <w:r w:rsidR="00762EA5">
        <w:rPr>
          <w:rFonts w:ascii="Arial" w:hAnsi="Arial" w:cs="Arial"/>
          <w:noProof/>
          <w:sz w:val="20"/>
          <w:szCs w:val="20"/>
          <w:lang w:val="en-US"/>
        </w:rPr>
        <w:t>relevant</w:t>
      </w:r>
      <w:r w:rsidRPr="003646BD">
        <w:rPr>
          <w:rFonts w:ascii="Arial" w:hAnsi="Arial" w:cs="Arial"/>
          <w:noProof/>
          <w:sz w:val="20"/>
          <w:szCs w:val="20"/>
          <w:lang w:val="en-US"/>
        </w:rPr>
        <w:t xml:space="preserve"> transformation and detoxification reactions.</w:t>
      </w:r>
    </w:p>
    <w:p w:rsidR="00762EA5" w:rsidRDefault="00762EA5" w:rsidP="009E088C">
      <w:pPr>
        <w:jc w:val="both"/>
        <w:rPr>
          <w:rFonts w:ascii="Arial" w:hAnsi="Arial" w:cs="Arial"/>
          <w:noProof/>
          <w:sz w:val="20"/>
          <w:szCs w:val="20"/>
          <w:lang w:val="en-US"/>
        </w:rPr>
      </w:pPr>
    </w:p>
    <w:sectPr w:rsidR="00762EA5"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2"/>
  </w:compat>
  <w:rsids>
    <w:rsidRoot w:val="004F3F40"/>
    <w:rsid w:val="00070BC5"/>
    <w:rsid w:val="000C1B5A"/>
    <w:rsid w:val="000F7DDD"/>
    <w:rsid w:val="001A6F72"/>
    <w:rsid w:val="001F2382"/>
    <w:rsid w:val="001F4812"/>
    <w:rsid w:val="002122D3"/>
    <w:rsid w:val="00241318"/>
    <w:rsid w:val="002B4B42"/>
    <w:rsid w:val="003646BD"/>
    <w:rsid w:val="00423440"/>
    <w:rsid w:val="00455675"/>
    <w:rsid w:val="00455DBB"/>
    <w:rsid w:val="004B2CE5"/>
    <w:rsid w:val="004F3F40"/>
    <w:rsid w:val="0050115A"/>
    <w:rsid w:val="00536439"/>
    <w:rsid w:val="006C38DF"/>
    <w:rsid w:val="006E4840"/>
    <w:rsid w:val="00762EA5"/>
    <w:rsid w:val="0080733C"/>
    <w:rsid w:val="008967CA"/>
    <w:rsid w:val="008C47B6"/>
    <w:rsid w:val="008E1BB9"/>
    <w:rsid w:val="009B473C"/>
    <w:rsid w:val="009E088C"/>
    <w:rsid w:val="00A34C75"/>
    <w:rsid w:val="00A377E4"/>
    <w:rsid w:val="00A4450B"/>
    <w:rsid w:val="00A95B34"/>
    <w:rsid w:val="00AB7D92"/>
    <w:rsid w:val="00AD6671"/>
    <w:rsid w:val="00B05BBE"/>
    <w:rsid w:val="00B10E8D"/>
    <w:rsid w:val="00BA1208"/>
    <w:rsid w:val="00BB51C3"/>
    <w:rsid w:val="00C22D80"/>
    <w:rsid w:val="00C54F4B"/>
    <w:rsid w:val="00D07888"/>
    <w:rsid w:val="00D2223F"/>
    <w:rsid w:val="00DF6705"/>
    <w:rsid w:val="00E05237"/>
    <w:rsid w:val="00E25EED"/>
    <w:rsid w:val="00F11E7A"/>
    <w:rsid w:val="00F27A74"/>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F56987-B4B2-4D8A-871E-B86FD9FD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rmin.wisthaler@kjemi.uio.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bunge@umwelt.uni-giessen.de" TargetMode="External"/><Relationship Id="rId5" Type="http://schemas.openxmlformats.org/officeDocument/2006/relationships/hyperlink" Target="mailto:m.mueller@uibk.ac.at" TargetMode="External"/><Relationship Id="rId4" Type="http://schemas.openxmlformats.org/officeDocument/2006/relationships/hyperlink" Target="mailto:leonard.boehm@umwelt.uni-giessen"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3593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
  <LinksUpToDate>false</LinksUpToDate>
  <CharactersWithSpaces>4155</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Leonard Böhm</cp:lastModifiedBy>
  <cp:revision>13</cp:revision>
  <dcterms:created xsi:type="dcterms:W3CDTF">2015-04-28T08:12:00Z</dcterms:created>
  <dcterms:modified xsi:type="dcterms:W3CDTF">2015-05-07T20:37:00Z</dcterms:modified>
</cp:coreProperties>
</file>