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2D60" w14:textId="77777777" w:rsidR="00796795" w:rsidRPr="00F05087" w:rsidRDefault="00796795" w:rsidP="00796795">
      <w:pPr>
        <w:spacing w:after="120"/>
        <w:rPr>
          <w:rFonts w:ascii="Arial" w:hAnsi="Arial" w:cs="Arial"/>
          <w:b/>
          <w:noProof/>
          <w:sz w:val="28"/>
          <w:szCs w:val="28"/>
          <w:lang w:val="en-US"/>
        </w:rPr>
      </w:pPr>
      <w:r>
        <w:rPr>
          <w:rFonts w:ascii="Arial" w:hAnsi="Arial" w:cs="Arial"/>
          <w:b/>
          <w:noProof/>
          <w:sz w:val="28"/>
          <w:szCs w:val="28"/>
          <w:lang w:val="fr-FR"/>
        </w:rPr>
        <w:t xml:space="preserve">Air-soil exchange of semi-volatile organic compounds in a central European receptor area : </w:t>
      </w:r>
      <w:r w:rsidRPr="000F7DDD">
        <w:rPr>
          <w:rFonts w:ascii="Arial" w:hAnsi="Arial" w:cs="Arial"/>
          <w:b/>
          <w:noProof/>
          <w:sz w:val="28"/>
          <w:szCs w:val="28"/>
          <w:lang w:val="fr-FR"/>
        </w:rPr>
        <w:t xml:space="preserve"> </w:t>
      </w:r>
      <w:r>
        <w:rPr>
          <w:rFonts w:ascii="Arial" w:hAnsi="Arial" w:cs="Arial"/>
          <w:b/>
          <w:noProof/>
          <w:sz w:val="28"/>
          <w:szCs w:val="28"/>
          <w:lang w:val="fr-FR"/>
        </w:rPr>
        <w:t xml:space="preserve">diurnal variations and influence of soil moisture and soil properties </w:t>
      </w:r>
    </w:p>
    <w:p w14:paraId="7356A3F3" w14:textId="77777777" w:rsidR="00796795" w:rsidRPr="00F05087" w:rsidRDefault="00796795" w:rsidP="00796795">
      <w:pPr>
        <w:spacing w:after="120"/>
        <w:rPr>
          <w:rFonts w:ascii="Arial" w:hAnsi="Arial" w:cs="Arial"/>
          <w:b/>
          <w:noProof/>
          <w:sz w:val="32"/>
          <w:szCs w:val="32"/>
          <w:lang w:val="en-US"/>
        </w:rPr>
      </w:pPr>
    </w:p>
    <w:p w14:paraId="5DDC8694" w14:textId="02CEADA2" w:rsidR="00796795" w:rsidRPr="003021F4" w:rsidRDefault="00796795" w:rsidP="00796795">
      <w:pPr>
        <w:spacing w:after="120"/>
        <w:rPr>
          <w:rFonts w:ascii="Arial" w:hAnsi="Arial" w:cs="Arial"/>
          <w:smallCaps/>
          <w:noProof/>
          <w:vertAlign w:val="superscript"/>
          <w:lang w:val="en-US"/>
        </w:rPr>
      </w:pPr>
      <w:r w:rsidRPr="003021F4">
        <w:rPr>
          <w:rFonts w:ascii="Arial" w:hAnsi="Arial" w:cs="Arial"/>
          <w:smallCaps/>
          <w:noProof/>
          <w:u w:val="single"/>
          <w:lang w:val="en-US"/>
        </w:rPr>
        <w:t>C</w:t>
      </w:r>
      <w:r>
        <w:rPr>
          <w:rFonts w:ascii="Arial" w:hAnsi="Arial" w:cs="Arial"/>
          <w:smallCaps/>
          <w:noProof/>
          <w:u w:val="single"/>
          <w:lang w:val="en-US"/>
        </w:rPr>
        <w:t>éline</w:t>
      </w:r>
      <w:r w:rsidRPr="003021F4">
        <w:rPr>
          <w:rFonts w:ascii="Arial" w:hAnsi="Arial" w:cs="Arial"/>
          <w:smallCaps/>
          <w:noProof/>
          <w:u w:val="single"/>
          <w:lang w:val="en-US"/>
        </w:rPr>
        <w:t>. Degrendele</w:t>
      </w:r>
      <w:r w:rsidRPr="003021F4">
        <w:rPr>
          <w:rFonts w:ascii="Arial" w:hAnsi="Arial" w:cs="Arial"/>
          <w:smallCaps/>
          <w:noProof/>
          <w:vertAlign w:val="superscript"/>
          <w:lang w:val="en-US"/>
        </w:rPr>
        <w:t>1</w:t>
      </w:r>
      <w:r w:rsidRPr="003021F4">
        <w:rPr>
          <w:rFonts w:ascii="Arial" w:hAnsi="Arial" w:cs="Arial"/>
          <w:smallCaps/>
          <w:noProof/>
          <w:lang w:val="en-US"/>
        </w:rPr>
        <w:t>, O</w:t>
      </w:r>
      <w:r>
        <w:rPr>
          <w:rFonts w:ascii="Arial" w:hAnsi="Arial" w:cs="Arial"/>
          <w:smallCaps/>
          <w:noProof/>
          <w:lang w:val="en-US"/>
        </w:rPr>
        <w:t>ndřej</w:t>
      </w:r>
      <w:r w:rsidRPr="003021F4">
        <w:rPr>
          <w:rFonts w:ascii="Arial" w:hAnsi="Arial" w:cs="Arial"/>
          <w:smallCaps/>
          <w:noProof/>
          <w:lang w:val="en-US"/>
        </w:rPr>
        <w:t xml:space="preserve"> Audy</w:t>
      </w:r>
      <w:r w:rsidRPr="003021F4">
        <w:rPr>
          <w:rFonts w:ascii="Arial" w:hAnsi="Arial" w:cs="Arial"/>
          <w:smallCaps/>
          <w:noProof/>
          <w:vertAlign w:val="superscript"/>
          <w:lang w:val="en-US"/>
        </w:rPr>
        <w:t>2</w:t>
      </w:r>
      <w:r w:rsidRPr="003021F4">
        <w:rPr>
          <w:rFonts w:ascii="Arial" w:hAnsi="Arial" w:cs="Arial"/>
          <w:smallCaps/>
          <w:noProof/>
          <w:lang w:val="en-US"/>
        </w:rPr>
        <w:t>, J</w:t>
      </w:r>
      <w:r>
        <w:rPr>
          <w:rFonts w:ascii="Arial" w:hAnsi="Arial" w:cs="Arial"/>
          <w:smallCaps/>
          <w:noProof/>
          <w:lang w:val="en-US"/>
        </w:rPr>
        <w:t>akub</w:t>
      </w:r>
      <w:r w:rsidRPr="003021F4">
        <w:rPr>
          <w:rFonts w:ascii="Arial" w:hAnsi="Arial" w:cs="Arial"/>
          <w:smallCaps/>
          <w:noProof/>
          <w:lang w:val="en-US"/>
        </w:rPr>
        <w:t xml:space="preserve"> Hofman</w:t>
      </w:r>
      <w:r w:rsidRPr="003021F4">
        <w:rPr>
          <w:rFonts w:ascii="Arial" w:hAnsi="Arial" w:cs="Arial"/>
          <w:smallCaps/>
          <w:noProof/>
          <w:vertAlign w:val="superscript"/>
          <w:lang w:val="en-US"/>
        </w:rPr>
        <w:t>2</w:t>
      </w:r>
      <w:r w:rsidRPr="003021F4">
        <w:rPr>
          <w:rFonts w:ascii="Arial" w:hAnsi="Arial" w:cs="Arial"/>
          <w:smallCaps/>
          <w:noProof/>
          <w:lang w:val="en-US"/>
        </w:rPr>
        <w:t>, J</w:t>
      </w:r>
      <w:r>
        <w:rPr>
          <w:rFonts w:ascii="Arial" w:hAnsi="Arial" w:cs="Arial"/>
          <w:smallCaps/>
          <w:noProof/>
          <w:lang w:val="en-US"/>
        </w:rPr>
        <w:t>iří</w:t>
      </w:r>
      <w:r w:rsidRPr="003021F4">
        <w:rPr>
          <w:rFonts w:ascii="Arial" w:hAnsi="Arial" w:cs="Arial"/>
          <w:smallCaps/>
          <w:noProof/>
          <w:lang w:val="en-US"/>
        </w:rPr>
        <w:t xml:space="preserve"> Ku</w:t>
      </w:r>
      <w:r>
        <w:rPr>
          <w:rFonts w:ascii="Arial" w:hAnsi="Arial" w:cs="Arial"/>
          <w:smallCaps/>
          <w:noProof/>
          <w:lang w:val="en-US"/>
        </w:rPr>
        <w:t>č</w:t>
      </w:r>
      <w:r w:rsidRPr="003021F4">
        <w:rPr>
          <w:rFonts w:ascii="Arial" w:hAnsi="Arial" w:cs="Arial"/>
          <w:smallCaps/>
          <w:noProof/>
          <w:lang w:val="en-US"/>
        </w:rPr>
        <w:t>er</w:t>
      </w:r>
      <w:r>
        <w:rPr>
          <w:rFonts w:ascii="Arial" w:hAnsi="Arial" w:cs="Arial"/>
          <w:smallCaps/>
          <w:noProof/>
          <w:lang w:val="en-US"/>
        </w:rPr>
        <w:t>í</w:t>
      </w:r>
      <w:r w:rsidRPr="003021F4">
        <w:rPr>
          <w:rFonts w:ascii="Arial" w:hAnsi="Arial" w:cs="Arial"/>
          <w:smallCaps/>
          <w:noProof/>
          <w:lang w:val="en-US"/>
        </w:rPr>
        <w:t>k</w:t>
      </w:r>
      <w:r w:rsidRPr="003021F4">
        <w:rPr>
          <w:rFonts w:ascii="Arial" w:hAnsi="Arial" w:cs="Arial"/>
          <w:smallCaps/>
          <w:noProof/>
          <w:vertAlign w:val="superscript"/>
          <w:lang w:val="en-US"/>
        </w:rPr>
        <w:t>3</w:t>
      </w:r>
      <w:r w:rsidRPr="003021F4">
        <w:rPr>
          <w:rFonts w:ascii="Arial" w:hAnsi="Arial" w:cs="Arial"/>
          <w:smallCaps/>
          <w:noProof/>
          <w:lang w:val="en-US"/>
        </w:rPr>
        <w:t>, P</w:t>
      </w:r>
      <w:r w:rsidR="006F21D6">
        <w:rPr>
          <w:rFonts w:ascii="Arial" w:hAnsi="Arial" w:cs="Arial"/>
          <w:smallCaps/>
          <w:noProof/>
          <w:lang w:val="en-US"/>
        </w:rPr>
        <w:t>etr</w:t>
      </w:r>
      <w:r w:rsidRPr="003021F4">
        <w:rPr>
          <w:rFonts w:ascii="Arial" w:hAnsi="Arial" w:cs="Arial"/>
          <w:smallCaps/>
          <w:noProof/>
          <w:lang w:val="en-US"/>
        </w:rPr>
        <w:t xml:space="preserve"> Kuku</w:t>
      </w:r>
      <w:r>
        <w:rPr>
          <w:rFonts w:ascii="Arial" w:hAnsi="Arial" w:cs="Arial"/>
          <w:smallCaps/>
          <w:noProof/>
          <w:lang w:val="en-US"/>
        </w:rPr>
        <w:t>č</w:t>
      </w:r>
      <w:r w:rsidRPr="003021F4">
        <w:rPr>
          <w:rFonts w:ascii="Arial" w:hAnsi="Arial" w:cs="Arial"/>
          <w:smallCaps/>
          <w:noProof/>
          <w:lang w:val="en-US"/>
        </w:rPr>
        <w:t>ka</w:t>
      </w:r>
      <w:r w:rsidRPr="003021F4">
        <w:rPr>
          <w:rFonts w:ascii="Arial" w:hAnsi="Arial" w:cs="Arial"/>
          <w:smallCaps/>
          <w:noProof/>
          <w:vertAlign w:val="superscript"/>
          <w:lang w:val="en-US"/>
        </w:rPr>
        <w:t>2</w:t>
      </w:r>
      <w:r w:rsidRPr="003021F4">
        <w:rPr>
          <w:rFonts w:ascii="Arial" w:hAnsi="Arial" w:cs="Arial"/>
          <w:smallCaps/>
          <w:noProof/>
          <w:lang w:val="en-US"/>
        </w:rPr>
        <w:t>, M</w:t>
      </w:r>
      <w:r w:rsidR="006F21D6">
        <w:rPr>
          <w:rFonts w:ascii="Arial" w:hAnsi="Arial" w:cs="Arial"/>
          <w:smallCaps/>
          <w:noProof/>
          <w:lang w:val="en-US"/>
        </w:rPr>
        <w:t>arie</w:t>
      </w:r>
      <w:bookmarkStart w:id="0" w:name="_GoBack"/>
      <w:bookmarkEnd w:id="0"/>
      <w:r w:rsidRPr="003021F4">
        <w:rPr>
          <w:rFonts w:ascii="Arial" w:hAnsi="Arial" w:cs="Arial"/>
          <w:smallCaps/>
          <w:noProof/>
          <w:lang w:val="en-US"/>
        </w:rPr>
        <w:t xml:space="preserve"> D. Mulder</w:t>
      </w:r>
      <w:r w:rsidRPr="003021F4">
        <w:rPr>
          <w:rFonts w:ascii="Arial" w:hAnsi="Arial" w:cs="Arial"/>
          <w:smallCaps/>
          <w:noProof/>
          <w:vertAlign w:val="superscript"/>
          <w:lang w:val="en-US"/>
        </w:rPr>
        <w:t>2</w:t>
      </w:r>
      <w:r w:rsidRPr="003021F4">
        <w:rPr>
          <w:rFonts w:ascii="Arial" w:hAnsi="Arial" w:cs="Arial"/>
          <w:smallCaps/>
          <w:noProof/>
          <w:lang w:val="en-US"/>
        </w:rPr>
        <w:t xml:space="preserve">, </w:t>
      </w:r>
      <w:r w:rsidR="00474DD4">
        <w:rPr>
          <w:rFonts w:ascii="Arial" w:hAnsi="Arial" w:cs="Arial"/>
          <w:smallCaps/>
          <w:noProof/>
          <w:lang w:val="en-US"/>
        </w:rPr>
        <w:t>Krisztina Pinter</w:t>
      </w:r>
      <w:r w:rsidR="00474DD4">
        <w:rPr>
          <w:rFonts w:ascii="Arial" w:hAnsi="Arial" w:cs="Arial"/>
          <w:smallCaps/>
          <w:noProof/>
          <w:vertAlign w:val="superscript"/>
          <w:lang w:val="en-US"/>
        </w:rPr>
        <w:t>4</w:t>
      </w:r>
      <w:r w:rsidR="00474DD4">
        <w:rPr>
          <w:rFonts w:ascii="Arial" w:hAnsi="Arial" w:cs="Arial"/>
          <w:smallCaps/>
          <w:noProof/>
          <w:lang w:val="en-US"/>
        </w:rPr>
        <w:t xml:space="preserve">, </w:t>
      </w:r>
      <w:r w:rsidRPr="003021F4">
        <w:rPr>
          <w:rFonts w:ascii="Arial" w:hAnsi="Arial" w:cs="Arial"/>
          <w:smallCaps/>
          <w:noProof/>
          <w:lang w:val="en-US"/>
        </w:rPr>
        <w:t>P</w:t>
      </w:r>
      <w:r w:rsidR="006F21D6">
        <w:rPr>
          <w:rFonts w:ascii="Arial" w:hAnsi="Arial" w:cs="Arial"/>
          <w:smallCaps/>
          <w:noProof/>
          <w:lang w:val="en-US"/>
        </w:rPr>
        <w:t>etra</w:t>
      </w:r>
      <w:r w:rsidRPr="003021F4">
        <w:rPr>
          <w:rFonts w:ascii="Arial" w:hAnsi="Arial" w:cs="Arial"/>
          <w:smallCaps/>
          <w:noProof/>
          <w:lang w:val="en-US"/>
        </w:rPr>
        <w:t xml:space="preserve"> P</w:t>
      </w:r>
      <w:r>
        <w:rPr>
          <w:rFonts w:ascii="Arial" w:hAnsi="Arial" w:cs="Arial"/>
          <w:smallCaps/>
          <w:noProof/>
          <w:lang w:val="en-US"/>
        </w:rPr>
        <w:t>ř</w:t>
      </w:r>
      <w:r w:rsidRPr="003021F4">
        <w:rPr>
          <w:rFonts w:ascii="Arial" w:hAnsi="Arial" w:cs="Arial"/>
          <w:smallCaps/>
          <w:noProof/>
          <w:lang w:val="en-US"/>
        </w:rPr>
        <w:t>ibylov</w:t>
      </w:r>
      <w:r>
        <w:rPr>
          <w:rFonts w:ascii="Arial" w:hAnsi="Arial" w:cs="Arial"/>
          <w:smallCaps/>
          <w:noProof/>
          <w:lang w:val="en-US"/>
        </w:rPr>
        <w:t>á</w:t>
      </w:r>
      <w:r w:rsidRPr="003021F4">
        <w:rPr>
          <w:rFonts w:ascii="Arial" w:hAnsi="Arial" w:cs="Arial"/>
          <w:smallCaps/>
          <w:noProof/>
          <w:vertAlign w:val="superscript"/>
          <w:lang w:val="en-US"/>
        </w:rPr>
        <w:t>2</w:t>
      </w:r>
      <w:r w:rsidRPr="003021F4">
        <w:rPr>
          <w:rFonts w:ascii="Arial" w:hAnsi="Arial" w:cs="Arial"/>
          <w:smallCaps/>
          <w:noProof/>
          <w:lang w:val="en-US"/>
        </w:rPr>
        <w:t>, R</w:t>
      </w:r>
      <w:r w:rsidR="006F21D6">
        <w:rPr>
          <w:rFonts w:ascii="Arial" w:hAnsi="Arial" w:cs="Arial"/>
          <w:smallCaps/>
          <w:noProof/>
          <w:lang w:val="en-US"/>
        </w:rPr>
        <w:t>oman</w:t>
      </w:r>
      <w:r w:rsidRPr="003021F4">
        <w:rPr>
          <w:rFonts w:ascii="Arial" w:hAnsi="Arial" w:cs="Arial"/>
          <w:smallCaps/>
          <w:noProof/>
          <w:lang w:val="en-US"/>
        </w:rPr>
        <w:t xml:space="preserve"> Proke</w:t>
      </w:r>
      <w:r>
        <w:rPr>
          <w:rFonts w:ascii="Arial" w:hAnsi="Arial" w:cs="Arial"/>
          <w:smallCaps/>
          <w:noProof/>
          <w:lang w:val="en-US"/>
        </w:rPr>
        <w:t>š</w:t>
      </w:r>
      <w:r w:rsidRPr="003021F4">
        <w:rPr>
          <w:rFonts w:ascii="Arial" w:hAnsi="Arial" w:cs="Arial"/>
          <w:smallCaps/>
          <w:noProof/>
          <w:vertAlign w:val="superscript"/>
          <w:lang w:val="en-US"/>
        </w:rPr>
        <w:t>2</w:t>
      </w:r>
      <w:r w:rsidRPr="003021F4">
        <w:rPr>
          <w:rFonts w:ascii="Arial" w:hAnsi="Arial" w:cs="Arial"/>
          <w:smallCaps/>
          <w:noProof/>
          <w:lang w:val="en-US"/>
        </w:rPr>
        <w:t>, T</w:t>
      </w:r>
      <w:r w:rsidR="006F21D6">
        <w:rPr>
          <w:rFonts w:ascii="Arial" w:hAnsi="Arial" w:cs="Arial"/>
          <w:smallCaps/>
          <w:noProof/>
          <w:lang w:val="en-US"/>
        </w:rPr>
        <w:t>atsiana</w:t>
      </w:r>
      <w:r w:rsidRPr="003021F4">
        <w:rPr>
          <w:rFonts w:ascii="Arial" w:hAnsi="Arial" w:cs="Arial"/>
          <w:smallCaps/>
          <w:noProof/>
          <w:lang w:val="en-US"/>
        </w:rPr>
        <w:t xml:space="preserve"> Rusina</w:t>
      </w:r>
      <w:r w:rsidRPr="003021F4">
        <w:rPr>
          <w:rFonts w:ascii="Arial" w:hAnsi="Arial" w:cs="Arial"/>
          <w:smallCaps/>
          <w:noProof/>
          <w:vertAlign w:val="superscript"/>
          <w:lang w:val="en-US"/>
        </w:rPr>
        <w:t>2</w:t>
      </w:r>
      <w:r w:rsidRPr="003021F4">
        <w:rPr>
          <w:rFonts w:ascii="Arial" w:hAnsi="Arial" w:cs="Arial"/>
          <w:smallCaps/>
          <w:noProof/>
          <w:lang w:val="en-US"/>
        </w:rPr>
        <w:t>, M</w:t>
      </w:r>
      <w:r w:rsidR="006F21D6">
        <w:rPr>
          <w:rFonts w:ascii="Arial" w:hAnsi="Arial" w:cs="Arial"/>
          <w:smallCaps/>
          <w:noProof/>
          <w:lang w:val="en-US"/>
        </w:rPr>
        <w:t>ilan</w:t>
      </w:r>
      <w:r w:rsidRPr="003021F4">
        <w:rPr>
          <w:rFonts w:ascii="Arial" w:hAnsi="Arial" w:cs="Arial"/>
          <w:smallCaps/>
          <w:noProof/>
          <w:lang w:val="en-US"/>
        </w:rPr>
        <w:t xml:space="preserve"> S</w:t>
      </w:r>
      <w:r>
        <w:rPr>
          <w:rFonts w:ascii="Arial" w:hAnsi="Arial" w:cs="Arial"/>
          <w:smallCaps/>
          <w:noProof/>
          <w:lang w:val="en-US"/>
        </w:rPr>
        <w:t>á</w:t>
      </w:r>
      <w:r w:rsidR="006F21D6">
        <w:rPr>
          <w:rFonts w:ascii="Arial" w:hAnsi="Arial" w:cs="Arial"/>
          <w:smallCaps/>
          <w:noProof/>
          <w:lang w:val="en-US"/>
        </w:rPr>
        <w:t>ň</w:t>
      </w:r>
      <w:r w:rsidRPr="003021F4">
        <w:rPr>
          <w:rFonts w:ascii="Arial" w:hAnsi="Arial" w:cs="Arial"/>
          <w:smallCaps/>
          <w:noProof/>
          <w:lang w:val="en-US"/>
        </w:rPr>
        <w:t>ka</w:t>
      </w:r>
      <w:r w:rsidRPr="003021F4">
        <w:rPr>
          <w:rFonts w:ascii="Arial" w:hAnsi="Arial" w:cs="Arial"/>
          <w:smallCaps/>
          <w:noProof/>
          <w:vertAlign w:val="superscript"/>
          <w:lang w:val="en-US"/>
        </w:rPr>
        <w:t>2</w:t>
      </w:r>
      <w:r w:rsidRPr="003021F4">
        <w:rPr>
          <w:rFonts w:ascii="Arial" w:hAnsi="Arial" w:cs="Arial"/>
          <w:smallCaps/>
          <w:noProof/>
          <w:lang w:val="en-US"/>
        </w:rPr>
        <w:t>, G</w:t>
      </w:r>
      <w:r w:rsidR="006F21D6">
        <w:rPr>
          <w:rFonts w:ascii="Arial" w:hAnsi="Arial" w:cs="Arial"/>
          <w:smallCaps/>
          <w:noProof/>
          <w:lang w:val="en-US"/>
        </w:rPr>
        <w:t>abriele</w:t>
      </w:r>
      <w:r w:rsidRPr="003021F4">
        <w:rPr>
          <w:rFonts w:ascii="Arial" w:hAnsi="Arial" w:cs="Arial"/>
          <w:smallCaps/>
          <w:noProof/>
          <w:lang w:val="en-US"/>
        </w:rPr>
        <w:t xml:space="preserve"> E. Schaumann</w:t>
      </w:r>
      <w:r w:rsidRPr="003021F4">
        <w:rPr>
          <w:rFonts w:ascii="Arial" w:hAnsi="Arial" w:cs="Arial"/>
          <w:smallCaps/>
          <w:noProof/>
          <w:vertAlign w:val="superscript"/>
          <w:lang w:val="en-US"/>
        </w:rPr>
        <w:t>3</w:t>
      </w:r>
      <w:r w:rsidRPr="003021F4">
        <w:rPr>
          <w:rFonts w:ascii="Arial" w:hAnsi="Arial" w:cs="Arial"/>
          <w:smallCaps/>
          <w:noProof/>
          <w:lang w:val="en-US"/>
        </w:rPr>
        <w:t>, F</w:t>
      </w:r>
      <w:r w:rsidR="006F21D6">
        <w:rPr>
          <w:rFonts w:ascii="Arial" w:hAnsi="Arial" w:cs="Arial"/>
          <w:smallCaps/>
          <w:noProof/>
          <w:lang w:val="en-US"/>
        </w:rPr>
        <w:t>oppe</w:t>
      </w:r>
      <w:r w:rsidRPr="003021F4">
        <w:rPr>
          <w:rFonts w:ascii="Arial" w:hAnsi="Arial" w:cs="Arial"/>
          <w:smallCaps/>
          <w:noProof/>
          <w:lang w:val="en-US"/>
        </w:rPr>
        <w:t xml:space="preserve"> Smedes</w:t>
      </w:r>
      <w:r w:rsidR="00474DD4">
        <w:rPr>
          <w:rFonts w:ascii="Arial" w:hAnsi="Arial" w:cs="Arial"/>
          <w:smallCaps/>
          <w:noProof/>
          <w:vertAlign w:val="superscript"/>
          <w:lang w:val="en-US"/>
        </w:rPr>
        <w:t>2,5</w:t>
      </w:r>
      <w:r w:rsidR="00BF265D">
        <w:rPr>
          <w:rFonts w:ascii="Arial" w:hAnsi="Arial" w:cs="Arial"/>
          <w:smallCaps/>
          <w:noProof/>
          <w:lang w:val="en-US"/>
        </w:rPr>
        <w:t xml:space="preserve"> </w:t>
      </w:r>
      <w:r w:rsidRPr="003021F4">
        <w:rPr>
          <w:rFonts w:ascii="Arial" w:hAnsi="Arial" w:cs="Arial"/>
          <w:smallCaps/>
          <w:noProof/>
          <w:lang w:val="en-US"/>
        </w:rPr>
        <w:t>and G</w:t>
      </w:r>
      <w:r w:rsidR="006F21D6">
        <w:rPr>
          <w:rFonts w:ascii="Arial" w:hAnsi="Arial" w:cs="Arial"/>
          <w:smallCaps/>
          <w:noProof/>
          <w:lang w:val="en-US"/>
        </w:rPr>
        <w:t>erhard</w:t>
      </w:r>
      <w:r>
        <w:rPr>
          <w:rFonts w:ascii="Arial" w:hAnsi="Arial" w:cs="Arial"/>
          <w:smallCaps/>
          <w:noProof/>
          <w:lang w:val="en-US"/>
        </w:rPr>
        <w:t xml:space="preserve"> </w:t>
      </w:r>
      <w:r w:rsidRPr="003021F4">
        <w:rPr>
          <w:rFonts w:ascii="Arial" w:hAnsi="Arial" w:cs="Arial"/>
          <w:smallCaps/>
          <w:noProof/>
          <w:lang w:val="en-US"/>
        </w:rPr>
        <w:t>Lammel</w:t>
      </w:r>
      <w:r w:rsidRPr="003021F4">
        <w:rPr>
          <w:rFonts w:ascii="Arial" w:hAnsi="Arial" w:cs="Arial"/>
          <w:smallCaps/>
          <w:noProof/>
          <w:vertAlign w:val="superscript"/>
          <w:lang w:val="en-US"/>
        </w:rPr>
        <w:t>1,2</w:t>
      </w:r>
    </w:p>
    <w:p w14:paraId="7023CBC8" w14:textId="77777777" w:rsidR="00796795" w:rsidRPr="00620897" w:rsidRDefault="00796795" w:rsidP="00796795">
      <w:pPr>
        <w:rPr>
          <w:rFonts w:ascii="Arial" w:hAnsi="Arial" w:cs="Arial"/>
          <w:noProof/>
          <w:sz w:val="18"/>
          <w:szCs w:val="18"/>
          <w:lang w:val="en-US"/>
        </w:rPr>
      </w:pPr>
      <w:r w:rsidRPr="00F05087">
        <w:rPr>
          <w:rFonts w:ascii="Arial" w:hAnsi="Arial" w:cs="Arial"/>
          <w:noProof/>
          <w:sz w:val="18"/>
          <w:szCs w:val="18"/>
          <w:vertAlign w:val="superscript"/>
          <w:lang w:val="en-US"/>
        </w:rPr>
        <w:t xml:space="preserve">1 </w:t>
      </w:r>
      <w:r>
        <w:rPr>
          <w:rFonts w:ascii="Arial" w:hAnsi="Arial" w:cs="Arial"/>
          <w:noProof/>
          <w:sz w:val="18"/>
          <w:szCs w:val="18"/>
          <w:lang w:val="en-US"/>
        </w:rPr>
        <w:t xml:space="preserve">Max Planck Institute for Chemistry, Multiphase Chemistry Department, Hahn-Meitner-Weg 1, 55128 Mainz, Germany </w:t>
      </w:r>
      <w:hyperlink r:id="rId5" w:history="1">
        <w:r w:rsidRPr="005D6DB1">
          <w:rPr>
            <w:rStyle w:val="Hyperlink"/>
            <w:rFonts w:ascii="Arial" w:hAnsi="Arial" w:cs="Arial"/>
            <w:noProof/>
            <w:sz w:val="18"/>
            <w:szCs w:val="18"/>
            <w:lang w:val="en-US"/>
          </w:rPr>
          <w:t>celine.degrendele@mpic.de</w:t>
        </w:r>
      </w:hyperlink>
      <w:r>
        <w:rPr>
          <w:rFonts w:ascii="Arial" w:hAnsi="Arial" w:cs="Arial"/>
          <w:noProof/>
          <w:sz w:val="18"/>
          <w:szCs w:val="18"/>
          <w:lang w:val="en-US"/>
        </w:rPr>
        <w:t xml:space="preserve">  </w:t>
      </w:r>
    </w:p>
    <w:p w14:paraId="284DA6B4" w14:textId="77777777" w:rsidR="00796795" w:rsidRDefault="00796795" w:rsidP="00796795">
      <w:pPr>
        <w:rPr>
          <w:rFonts w:ascii="Arial" w:hAnsi="Arial" w:cs="Arial"/>
          <w:noProof/>
          <w:sz w:val="18"/>
          <w:szCs w:val="18"/>
          <w:lang w:val="en-US"/>
        </w:rPr>
      </w:pPr>
      <w:r w:rsidRPr="00620897">
        <w:rPr>
          <w:rFonts w:ascii="Arial" w:hAnsi="Arial" w:cs="Arial"/>
          <w:noProof/>
          <w:sz w:val="18"/>
          <w:szCs w:val="18"/>
          <w:vertAlign w:val="superscript"/>
          <w:lang w:val="en-US"/>
        </w:rPr>
        <w:t xml:space="preserve">2 </w:t>
      </w:r>
      <w:r w:rsidRPr="00620897">
        <w:rPr>
          <w:rFonts w:ascii="Arial" w:hAnsi="Arial" w:cs="Arial"/>
          <w:noProof/>
          <w:sz w:val="18"/>
          <w:szCs w:val="18"/>
          <w:lang w:val="en-US"/>
        </w:rPr>
        <w:t xml:space="preserve">Research Centre for Toxic Compounds in the Environment, </w:t>
      </w:r>
      <w:r>
        <w:rPr>
          <w:rFonts w:ascii="Arial" w:hAnsi="Arial" w:cs="Arial"/>
          <w:noProof/>
          <w:sz w:val="18"/>
          <w:szCs w:val="18"/>
          <w:lang w:val="en-US"/>
        </w:rPr>
        <w:t xml:space="preserve">Faculty of Science, Masaryk University, Kamenice 5, A29, 625 00 Brno, Czech Republic </w:t>
      </w:r>
    </w:p>
    <w:p w14:paraId="4601025C" w14:textId="77777777" w:rsidR="00796795" w:rsidRPr="00796795" w:rsidRDefault="00796795" w:rsidP="00796795">
      <w:pPr>
        <w:rPr>
          <w:rFonts w:ascii="Arial" w:hAnsi="Arial" w:cs="Arial"/>
          <w:noProof/>
          <w:sz w:val="18"/>
          <w:szCs w:val="18"/>
          <w:lang w:val="en-US"/>
        </w:rPr>
      </w:pPr>
      <w:r w:rsidRPr="00D57F41">
        <w:rPr>
          <w:rFonts w:ascii="Arial" w:hAnsi="Arial" w:cs="Arial"/>
          <w:noProof/>
          <w:sz w:val="18"/>
          <w:szCs w:val="18"/>
          <w:vertAlign w:val="superscript"/>
          <w:lang w:val="en-US"/>
        </w:rPr>
        <w:t>3</w:t>
      </w:r>
      <w:r>
        <w:rPr>
          <w:rFonts w:ascii="Arial" w:hAnsi="Arial" w:cs="Arial"/>
          <w:noProof/>
          <w:sz w:val="18"/>
          <w:szCs w:val="18"/>
          <w:lang w:val="en-US"/>
        </w:rPr>
        <w:t xml:space="preserve"> Institute of Environmental Sciences, University of Koblenz-Landau, Fortstr. </w:t>
      </w:r>
      <w:r w:rsidRPr="00796795">
        <w:rPr>
          <w:rFonts w:ascii="Arial" w:hAnsi="Arial" w:cs="Arial"/>
          <w:noProof/>
          <w:sz w:val="18"/>
          <w:szCs w:val="18"/>
          <w:lang w:val="en-US"/>
        </w:rPr>
        <w:t xml:space="preserve">7, 76829 Landau, Germany </w:t>
      </w:r>
    </w:p>
    <w:p w14:paraId="2FC45B64" w14:textId="482A52B5" w:rsidR="00796795" w:rsidRDefault="00796795" w:rsidP="00796795">
      <w:pPr>
        <w:rPr>
          <w:rFonts w:ascii="Arial" w:hAnsi="Arial" w:cs="Arial"/>
          <w:noProof/>
          <w:sz w:val="18"/>
          <w:szCs w:val="18"/>
          <w:lang w:val="en-US"/>
        </w:rPr>
      </w:pPr>
      <w:r w:rsidRPr="00796795">
        <w:rPr>
          <w:rFonts w:ascii="Arial" w:hAnsi="Arial" w:cs="Arial"/>
          <w:noProof/>
          <w:sz w:val="18"/>
          <w:szCs w:val="18"/>
          <w:vertAlign w:val="superscript"/>
          <w:lang w:val="en-US"/>
        </w:rPr>
        <w:t>4</w:t>
      </w:r>
      <w:r w:rsidRPr="00796795">
        <w:rPr>
          <w:rFonts w:ascii="Arial" w:hAnsi="Arial" w:cs="Arial"/>
          <w:noProof/>
          <w:sz w:val="18"/>
          <w:szCs w:val="18"/>
          <w:lang w:val="en-US"/>
        </w:rPr>
        <w:t xml:space="preserve"> </w:t>
      </w:r>
      <w:r w:rsidR="00474DD4">
        <w:rPr>
          <w:rFonts w:ascii="Arial" w:hAnsi="Arial" w:cs="Arial"/>
          <w:noProof/>
          <w:sz w:val="18"/>
          <w:szCs w:val="18"/>
          <w:lang w:val="en-US"/>
        </w:rPr>
        <w:t>Institute of Botany and Ecophysiology, Szent Istvan University, 2100, Páter K. u. 1, Gödöllő, Hungary</w:t>
      </w:r>
    </w:p>
    <w:p w14:paraId="2F4F23CA" w14:textId="3BB5CA9A" w:rsidR="00BF265D" w:rsidRDefault="00BF265D" w:rsidP="00796795">
      <w:pPr>
        <w:rPr>
          <w:rFonts w:ascii="Arial" w:hAnsi="Arial" w:cs="Arial"/>
          <w:noProof/>
          <w:sz w:val="18"/>
          <w:szCs w:val="18"/>
          <w:lang w:val="en-US"/>
        </w:rPr>
      </w:pPr>
      <w:r w:rsidRPr="00474DD4">
        <w:rPr>
          <w:rFonts w:ascii="Arial" w:hAnsi="Arial" w:cs="Arial"/>
          <w:noProof/>
          <w:sz w:val="18"/>
          <w:szCs w:val="18"/>
          <w:vertAlign w:val="superscript"/>
          <w:lang w:val="en-US"/>
        </w:rPr>
        <w:t>5</w:t>
      </w:r>
      <w:r>
        <w:rPr>
          <w:rFonts w:ascii="Arial" w:hAnsi="Arial" w:cs="Arial"/>
          <w:noProof/>
          <w:sz w:val="18"/>
          <w:szCs w:val="18"/>
          <w:lang w:val="en-US"/>
        </w:rPr>
        <w:t xml:space="preserve"> </w:t>
      </w:r>
      <w:r w:rsidR="00474DD4">
        <w:rPr>
          <w:rFonts w:ascii="Arial" w:hAnsi="Arial" w:cs="Arial"/>
          <w:noProof/>
          <w:sz w:val="18"/>
          <w:szCs w:val="18"/>
          <w:lang w:val="en-US"/>
        </w:rPr>
        <w:t>Deltares, P0 Box 85467, 3508 AL Ultrecht, The Netherlands</w:t>
      </w:r>
    </w:p>
    <w:p w14:paraId="1AF2C83F" w14:textId="77777777" w:rsidR="00796795" w:rsidRDefault="00796795" w:rsidP="00796795">
      <w:pPr>
        <w:spacing w:after="120"/>
        <w:rPr>
          <w:rFonts w:ascii="Arial" w:hAnsi="Arial" w:cs="Arial"/>
          <w:noProof/>
          <w:sz w:val="18"/>
          <w:szCs w:val="18"/>
          <w:lang w:val="en-US"/>
        </w:rPr>
      </w:pPr>
    </w:p>
    <w:p w14:paraId="6EF8E636" w14:textId="77777777" w:rsidR="00796795" w:rsidRPr="00620897" w:rsidRDefault="00796795" w:rsidP="00796795">
      <w:pPr>
        <w:rPr>
          <w:lang w:val="en-US"/>
        </w:rPr>
      </w:pPr>
    </w:p>
    <w:p w14:paraId="5DA490D7" w14:textId="77777777" w:rsidR="00796795" w:rsidRPr="00C466F0" w:rsidRDefault="00796795" w:rsidP="00796795">
      <w:pPr>
        <w:jc w:val="both"/>
        <w:rPr>
          <w:rFonts w:ascii="Arial" w:hAnsi="Arial" w:cs="Arial"/>
          <w:noProof/>
          <w:sz w:val="20"/>
          <w:szCs w:val="20"/>
          <w:lang w:val="en-US"/>
        </w:rPr>
      </w:pPr>
      <w:r w:rsidRPr="00C466F0">
        <w:rPr>
          <w:rFonts w:ascii="Arial" w:hAnsi="Arial" w:cs="Arial"/>
          <w:noProof/>
          <w:sz w:val="20"/>
          <w:szCs w:val="20"/>
          <w:lang w:val="en-US"/>
        </w:rPr>
        <w:t xml:space="preserve">Soils are a major reservoir of semi-volatile organic compounds </w:t>
      </w:r>
      <w:r>
        <w:rPr>
          <w:rFonts w:ascii="Arial" w:hAnsi="Arial" w:cs="Arial"/>
          <w:noProof/>
          <w:sz w:val="20"/>
          <w:szCs w:val="20"/>
          <w:lang w:val="en-US"/>
        </w:rPr>
        <w:t xml:space="preserve">(SOCs) </w:t>
      </w:r>
      <w:r w:rsidRPr="00C466F0">
        <w:rPr>
          <w:rFonts w:ascii="Arial" w:hAnsi="Arial" w:cs="Arial"/>
          <w:noProof/>
          <w:sz w:val="20"/>
          <w:szCs w:val="20"/>
          <w:lang w:val="en-US"/>
        </w:rPr>
        <w:t>in the environment and air</w:t>
      </w:r>
      <w:r>
        <w:rPr>
          <w:rFonts w:ascii="Arial" w:hAnsi="Arial" w:cs="Arial"/>
          <w:noProof/>
          <w:sz w:val="20"/>
          <w:szCs w:val="20"/>
          <w:lang w:val="en-US"/>
        </w:rPr>
        <w:t>-soil</w:t>
      </w:r>
      <w:r w:rsidRPr="00C466F0">
        <w:rPr>
          <w:rFonts w:ascii="Arial" w:hAnsi="Arial" w:cs="Arial"/>
          <w:noProof/>
          <w:sz w:val="20"/>
          <w:szCs w:val="20"/>
          <w:lang w:val="en-US"/>
        </w:rPr>
        <w:t xml:space="preserve"> exchange </w:t>
      </w:r>
      <w:r>
        <w:rPr>
          <w:rFonts w:ascii="Arial" w:hAnsi="Arial" w:cs="Arial"/>
          <w:noProof/>
          <w:sz w:val="20"/>
          <w:szCs w:val="20"/>
          <w:lang w:val="en-US"/>
        </w:rPr>
        <w:t xml:space="preserve">is </w:t>
      </w:r>
      <w:r w:rsidRPr="00C466F0">
        <w:rPr>
          <w:rFonts w:ascii="Arial" w:hAnsi="Arial" w:cs="Arial"/>
          <w:noProof/>
          <w:sz w:val="20"/>
          <w:szCs w:val="20"/>
          <w:lang w:val="en-US"/>
        </w:rPr>
        <w:t>a key process controlling the atmospheric concentrations and regional fate of pollutants</w:t>
      </w:r>
      <w:r>
        <w:rPr>
          <w:rFonts w:ascii="Arial" w:hAnsi="Arial" w:cs="Arial"/>
          <w:noProof/>
          <w:sz w:val="20"/>
          <w:szCs w:val="20"/>
          <w:lang w:val="en-US"/>
        </w:rPr>
        <w:t>, at least far from primary SOC sources</w:t>
      </w:r>
      <w:r w:rsidRPr="00C466F0">
        <w:rPr>
          <w:rFonts w:ascii="Arial" w:hAnsi="Arial" w:cs="Arial"/>
          <w:noProof/>
          <w:sz w:val="20"/>
          <w:szCs w:val="20"/>
          <w:lang w:val="en-US"/>
        </w:rPr>
        <w:t xml:space="preserve">. </w:t>
      </w:r>
    </w:p>
    <w:p w14:paraId="0D555F40" w14:textId="77777777" w:rsidR="00796795" w:rsidRDefault="00796795" w:rsidP="00796795">
      <w:pPr>
        <w:jc w:val="both"/>
        <w:rPr>
          <w:rFonts w:ascii="Arial" w:hAnsi="Arial" w:cs="Arial"/>
          <w:noProof/>
          <w:sz w:val="20"/>
          <w:szCs w:val="20"/>
          <w:lang w:val="en-US"/>
        </w:rPr>
      </w:pPr>
    </w:p>
    <w:p w14:paraId="1F33D73E" w14:textId="3D1EE96E" w:rsidR="00796795" w:rsidRPr="00C466F0" w:rsidRDefault="00796795" w:rsidP="00796795">
      <w:pPr>
        <w:jc w:val="both"/>
        <w:rPr>
          <w:rFonts w:ascii="Arial" w:hAnsi="Arial" w:cs="Arial"/>
          <w:noProof/>
          <w:sz w:val="20"/>
          <w:szCs w:val="20"/>
          <w:lang w:val="en-US"/>
        </w:rPr>
      </w:pPr>
      <w:r w:rsidRPr="00C466F0">
        <w:rPr>
          <w:rFonts w:ascii="Arial" w:hAnsi="Arial" w:cs="Arial"/>
          <w:noProof/>
          <w:sz w:val="20"/>
          <w:szCs w:val="20"/>
          <w:lang w:val="en-US"/>
        </w:rPr>
        <w:t>In this study, concentrations of polycyclic aromatic hydrocarbons (PAHs), polychlorinated biphenyls (PCBs), polybrominated diphenyl ethers (PBDEs</w:t>
      </w:r>
      <w:r>
        <w:rPr>
          <w:rFonts w:ascii="Arial" w:hAnsi="Arial" w:cs="Arial"/>
          <w:noProof/>
          <w:sz w:val="20"/>
          <w:szCs w:val="20"/>
          <w:lang w:val="en-US"/>
        </w:rPr>
        <w:t xml:space="preserve">) and </w:t>
      </w:r>
      <w:r w:rsidRPr="00C466F0">
        <w:rPr>
          <w:rFonts w:ascii="Arial" w:hAnsi="Arial" w:cs="Arial"/>
          <w:noProof/>
          <w:sz w:val="20"/>
          <w:szCs w:val="20"/>
          <w:lang w:val="en-US"/>
        </w:rPr>
        <w:t xml:space="preserve">organochlorine pesticides (OCPs) </w:t>
      </w:r>
      <w:r>
        <w:rPr>
          <w:rFonts w:ascii="Arial" w:hAnsi="Arial" w:cs="Arial"/>
          <w:noProof/>
          <w:sz w:val="20"/>
          <w:szCs w:val="20"/>
          <w:lang w:val="en-US"/>
        </w:rPr>
        <w:t>in air and soil</w:t>
      </w:r>
      <w:r w:rsidRPr="00C466F0">
        <w:rPr>
          <w:rFonts w:ascii="Arial" w:hAnsi="Arial" w:cs="Arial"/>
          <w:noProof/>
          <w:sz w:val="20"/>
          <w:szCs w:val="20"/>
          <w:lang w:val="en-US"/>
        </w:rPr>
        <w:t>, their fugacities (</w:t>
      </w:r>
      <w:r w:rsidRPr="003D320C">
        <w:rPr>
          <w:rFonts w:ascii="Arial" w:hAnsi="Arial" w:cs="Arial"/>
          <w:i/>
          <w:noProof/>
          <w:sz w:val="20"/>
          <w:szCs w:val="20"/>
          <w:lang w:val="en-US"/>
        </w:rPr>
        <w:t>f</w:t>
      </w:r>
      <w:r w:rsidRPr="00C466F0">
        <w:rPr>
          <w:rFonts w:ascii="Arial" w:hAnsi="Arial" w:cs="Arial"/>
          <w:noProof/>
          <w:sz w:val="20"/>
          <w:szCs w:val="20"/>
          <w:vertAlign w:val="subscript"/>
          <w:lang w:val="en-US"/>
        </w:rPr>
        <w:t xml:space="preserve">a </w:t>
      </w:r>
      <w:r w:rsidRPr="00C466F0">
        <w:rPr>
          <w:rFonts w:ascii="Arial" w:hAnsi="Arial" w:cs="Arial"/>
          <w:noProof/>
          <w:sz w:val="20"/>
          <w:szCs w:val="20"/>
          <w:lang w:val="en-US"/>
        </w:rPr>
        <w:t xml:space="preserve">and </w:t>
      </w:r>
      <w:r w:rsidRPr="003D320C">
        <w:rPr>
          <w:rFonts w:ascii="Arial" w:hAnsi="Arial" w:cs="Arial"/>
          <w:i/>
          <w:noProof/>
          <w:sz w:val="20"/>
          <w:szCs w:val="20"/>
          <w:lang w:val="en-US"/>
        </w:rPr>
        <w:t>f</w:t>
      </w:r>
      <w:r w:rsidRPr="00C466F0">
        <w:rPr>
          <w:rFonts w:ascii="Arial" w:hAnsi="Arial" w:cs="Arial"/>
          <w:noProof/>
          <w:sz w:val="20"/>
          <w:szCs w:val="20"/>
          <w:vertAlign w:val="subscript"/>
          <w:lang w:val="en-US"/>
        </w:rPr>
        <w:t>s</w:t>
      </w:r>
      <w:r w:rsidRPr="00C466F0">
        <w:rPr>
          <w:rFonts w:ascii="Arial" w:hAnsi="Arial" w:cs="Arial"/>
          <w:noProof/>
          <w:sz w:val="20"/>
          <w:szCs w:val="20"/>
          <w:lang w:val="en-US"/>
        </w:rPr>
        <w:t xml:space="preserve">) and the </w:t>
      </w:r>
      <w:r>
        <w:rPr>
          <w:rFonts w:ascii="Arial" w:hAnsi="Arial" w:cs="Arial"/>
          <w:noProof/>
          <w:sz w:val="20"/>
          <w:szCs w:val="20"/>
          <w:lang w:val="en-US"/>
        </w:rPr>
        <w:t xml:space="preserve">experimental </w:t>
      </w:r>
      <w:r w:rsidRPr="00C466F0">
        <w:rPr>
          <w:rFonts w:ascii="Arial" w:hAnsi="Arial" w:cs="Arial"/>
          <w:noProof/>
          <w:sz w:val="20"/>
          <w:szCs w:val="20"/>
          <w:lang w:val="en-US"/>
        </w:rPr>
        <w:t>soil-air partitioning coefficient (</w:t>
      </w:r>
      <w:r w:rsidRPr="003D320C">
        <w:rPr>
          <w:rFonts w:ascii="Arial" w:hAnsi="Arial" w:cs="Arial"/>
          <w:i/>
          <w:noProof/>
          <w:sz w:val="20"/>
          <w:szCs w:val="20"/>
          <w:lang w:val="en-US"/>
        </w:rPr>
        <w:t>K</w:t>
      </w:r>
      <w:r w:rsidRPr="00C466F0">
        <w:rPr>
          <w:rFonts w:ascii="Arial" w:hAnsi="Arial" w:cs="Arial"/>
          <w:noProof/>
          <w:sz w:val="20"/>
          <w:szCs w:val="20"/>
          <w:vertAlign w:val="subscript"/>
          <w:lang w:val="en-US"/>
        </w:rPr>
        <w:t>SA</w:t>
      </w:r>
      <w:r w:rsidRPr="00C466F0">
        <w:rPr>
          <w:rFonts w:ascii="Arial" w:hAnsi="Arial" w:cs="Arial"/>
          <w:noProof/>
          <w:sz w:val="20"/>
          <w:szCs w:val="20"/>
          <w:lang w:val="en-US"/>
        </w:rPr>
        <w:t xml:space="preserve">) </w:t>
      </w:r>
      <w:r>
        <w:rPr>
          <w:rFonts w:ascii="Arial" w:hAnsi="Arial" w:cs="Arial"/>
          <w:noProof/>
          <w:sz w:val="20"/>
          <w:szCs w:val="20"/>
          <w:lang w:val="en-US"/>
        </w:rPr>
        <w:t>we</w:t>
      </w:r>
      <w:r w:rsidRPr="00C466F0">
        <w:rPr>
          <w:rFonts w:ascii="Arial" w:hAnsi="Arial" w:cs="Arial"/>
          <w:noProof/>
          <w:sz w:val="20"/>
          <w:szCs w:val="20"/>
          <w:lang w:val="en-US"/>
        </w:rPr>
        <w:t xml:space="preserve">re </w:t>
      </w:r>
      <w:r>
        <w:rPr>
          <w:rFonts w:ascii="Arial" w:hAnsi="Arial" w:cs="Arial"/>
          <w:noProof/>
          <w:sz w:val="20"/>
          <w:szCs w:val="20"/>
          <w:lang w:val="en-US"/>
        </w:rPr>
        <w:t>determined at</w:t>
      </w:r>
      <w:r w:rsidRPr="00C466F0">
        <w:rPr>
          <w:rFonts w:ascii="Arial" w:hAnsi="Arial" w:cs="Arial"/>
          <w:noProof/>
          <w:sz w:val="20"/>
          <w:szCs w:val="20"/>
          <w:lang w:val="en-US"/>
        </w:rPr>
        <w:t xml:space="preserve"> two background sites </w:t>
      </w:r>
      <w:r>
        <w:rPr>
          <w:rFonts w:ascii="Arial" w:hAnsi="Arial" w:cs="Arial"/>
          <w:noProof/>
          <w:sz w:val="20"/>
          <w:szCs w:val="20"/>
          <w:lang w:val="en-US"/>
        </w:rPr>
        <w:t>in the</w:t>
      </w:r>
      <w:r w:rsidRPr="00C466F0">
        <w:rPr>
          <w:rFonts w:ascii="Arial" w:hAnsi="Arial" w:cs="Arial"/>
          <w:noProof/>
          <w:sz w:val="20"/>
          <w:szCs w:val="20"/>
          <w:lang w:val="en-US"/>
        </w:rPr>
        <w:t xml:space="preserve"> Gt. Hungarian Plain</w:t>
      </w:r>
      <w:r>
        <w:rPr>
          <w:rFonts w:ascii="Arial" w:hAnsi="Arial" w:cs="Arial"/>
          <w:noProof/>
          <w:sz w:val="20"/>
          <w:szCs w:val="20"/>
          <w:lang w:val="en-US"/>
        </w:rPr>
        <w:t xml:space="preserve"> in August 2013, based on soil and air sampling (various heights above ground; </w:t>
      </w:r>
      <w:r w:rsidR="0053503A">
        <w:rPr>
          <w:rFonts w:ascii="Arial" w:hAnsi="Arial" w:cs="Arial"/>
          <w:noProof/>
          <w:sz w:val="20"/>
          <w:szCs w:val="20"/>
          <w:lang w:val="en-US"/>
        </w:rPr>
        <w:fldChar w:fldCharType="begin" w:fldLock="1"/>
      </w:r>
      <w:r w:rsidR="00A04919">
        <w:rPr>
          <w:rFonts w:ascii="Arial" w:hAnsi="Arial" w:cs="Arial"/>
          <w:noProof/>
          <w:sz w:val="20"/>
          <w:szCs w:val="20"/>
          <w:lang w:val="en-US"/>
        </w:rPr>
        <w:instrText>ADDIN CSL_CITATION { "citationItems" : [ { "id" : "ITEM-1", "itemData" : { "DOI" : "10.1021/es9020525", "ISBN" : "0013-936X", "ISSN" : "0013936X", "PMID" : "19924953", "abstract" : "Soils are the main reservoir of persistent organic pollutants (POPs) and thus air-soil exchange and partitioning are key processes controlling the fate and transport of POPs at regional and global scales. To date, soil fugacity has been estimated from models of the soil-air partition coefficients, with the associated unavoidable uncertainties; or by experimental procedures in the laboratory with uncertain application in field conditions. The development of an operational soil fugacity sampler is presented here; one which ensures optimal field data of the POP fugacity in soil and environmentally relevant surface (soil+grass, etc.) and therefore ensuring accurate soil-air partition coefficients and surface-air fugacity gradients. The sampler flow rate is optimized, sampler reproducibility is assessed, and equilibrium between the gas and soil concentrations of polychlorinated biphenyls and polycyclic aromatic hydrocarbons is demonstrated. The development and comprehensive validation of a soil fugacity sampler opens the door for the first time to field studies that accurately determine the variables driving the soil-air partitioning and fluxes of POPs.", "author" : [ { "dropping-particle" : "", "family" : "Cabrerizo", "given" : "Ana", "non-dropping-particle" : "", "parse-names" : false, "suffix" : "" }, { "dropping-particle" : "", "family" : "Dachs", "given" : "Jordi", "non-dropping-particle" : "", "parse-names" : false, "suffix" : "" }, { "dropping-particle" : "", "family" : "Barcel\u00f3", "given" : "Dami\u00e0", "non-dropping-particle" : "", "parse-names" : false, "suffix" : "" } ], "container-title" : "Environmental Science and Technology", "id" : "ITEM-1", "issue" : "21", "issued" : { "date-parts" : [ [ "2009" ] ] }, "page" : "8257-8263", "title" : "Development of a soil fugacity sampler for determination of air - soil partitioning of persistent organic pollutants under field controlled conditions", "type" : "article-journal", "volume" : "43" }, "uris" : [ "http://www.mendeley.com/documents/?uuid=a903ec05-0aa6-4219-b652-79e03485ff8c" ] } ], "mendeley" : { "formattedCitation" : "(Cabrerizo et al., 2009)", "plainTextFormattedCitation" : "(Cabrerizo et al., 2009)", "previouslyFormattedCitation" : "(Cabrerizo et al., 2009)" }, "properties" : { "noteIndex" : 0 }, "schema" : "https://github.com/citation-style-language/schema/raw/master/csl-citation.json" }</w:instrText>
      </w:r>
      <w:r w:rsidR="0053503A">
        <w:rPr>
          <w:rFonts w:ascii="Arial" w:hAnsi="Arial" w:cs="Arial"/>
          <w:noProof/>
          <w:sz w:val="20"/>
          <w:szCs w:val="20"/>
          <w:lang w:val="en-US"/>
        </w:rPr>
        <w:fldChar w:fldCharType="separate"/>
      </w:r>
      <w:r w:rsidR="00BF265D" w:rsidRPr="00BF265D">
        <w:rPr>
          <w:rFonts w:ascii="Arial" w:hAnsi="Arial" w:cs="Arial"/>
          <w:noProof/>
          <w:sz w:val="20"/>
          <w:szCs w:val="20"/>
          <w:lang w:val="en-US"/>
        </w:rPr>
        <w:t>(Cabrerizo et al., 2009)</w:t>
      </w:r>
      <w:r w:rsidR="0053503A">
        <w:rPr>
          <w:rFonts w:ascii="Arial" w:hAnsi="Arial" w:cs="Arial"/>
          <w:noProof/>
          <w:sz w:val="20"/>
          <w:szCs w:val="20"/>
          <w:lang w:val="en-US"/>
        </w:rPr>
        <w:fldChar w:fldCharType="end"/>
      </w:r>
      <w:r w:rsidR="00A04919">
        <w:rPr>
          <w:rFonts w:ascii="Arial" w:hAnsi="Arial" w:cs="Arial"/>
          <w:noProof/>
          <w:sz w:val="20"/>
          <w:szCs w:val="20"/>
          <w:lang w:val="en-US"/>
        </w:rPr>
        <w:t>)</w:t>
      </w:r>
      <w:r w:rsidRPr="00C466F0">
        <w:rPr>
          <w:rFonts w:ascii="Arial" w:hAnsi="Arial" w:cs="Arial"/>
          <w:noProof/>
          <w:sz w:val="20"/>
          <w:szCs w:val="20"/>
          <w:lang w:val="en-US"/>
        </w:rPr>
        <w:t xml:space="preserve">. Moreover, the diurnal variations and the influence of soil moisture and soil properties on </w:t>
      </w:r>
      <w:r>
        <w:rPr>
          <w:rFonts w:ascii="Arial" w:hAnsi="Arial" w:cs="Arial"/>
          <w:noProof/>
          <w:sz w:val="20"/>
          <w:szCs w:val="20"/>
          <w:lang w:val="en-US"/>
        </w:rPr>
        <w:t>air-soil exchange is investigat</w:t>
      </w:r>
      <w:r w:rsidRPr="00C466F0">
        <w:rPr>
          <w:rFonts w:ascii="Arial" w:hAnsi="Arial" w:cs="Arial"/>
          <w:noProof/>
          <w:sz w:val="20"/>
          <w:szCs w:val="20"/>
          <w:lang w:val="en-US"/>
        </w:rPr>
        <w:t xml:space="preserve">ed. </w:t>
      </w:r>
      <w:r>
        <w:rPr>
          <w:rFonts w:ascii="Arial" w:hAnsi="Arial" w:cs="Arial"/>
          <w:noProof/>
          <w:sz w:val="20"/>
          <w:szCs w:val="20"/>
          <w:lang w:val="en-US"/>
        </w:rPr>
        <w:t xml:space="preserve">The day-night temperature amplitude in soil was </w:t>
      </w:r>
      <w:r w:rsidR="00804A92">
        <w:rPr>
          <w:rFonts w:ascii="Arial" w:hAnsi="Arial" w:cs="Arial"/>
          <w:noProof/>
          <w:sz w:val="20"/>
          <w:szCs w:val="20"/>
          <w:lang w:val="en-US"/>
        </w:rPr>
        <w:t>2</w:t>
      </w:r>
      <w:r w:rsidR="006F21D6">
        <w:rPr>
          <w:rFonts w:ascii="Arial" w:hAnsi="Arial" w:cs="Arial"/>
          <w:noProof/>
          <w:sz w:val="20"/>
          <w:szCs w:val="20"/>
          <w:lang w:val="en-US"/>
        </w:rPr>
        <w:t>9</w:t>
      </w:r>
      <w:r w:rsidR="00804A92">
        <w:rPr>
          <w:rFonts w:ascii="Arial" w:hAnsi="Arial" w:cs="Arial"/>
          <w:noProof/>
          <w:sz w:val="20"/>
          <w:szCs w:val="20"/>
          <w:lang w:val="en-US"/>
        </w:rPr>
        <w:t>0.6</w:t>
      </w:r>
      <w:r w:rsidR="006F21D6">
        <w:rPr>
          <w:rFonts w:ascii="Arial" w:hAnsi="Arial" w:cs="Arial"/>
          <w:noProof/>
          <w:sz w:val="20"/>
          <w:szCs w:val="20"/>
          <w:lang w:val="en-US"/>
        </w:rPr>
        <w:t>-</w:t>
      </w:r>
      <w:r w:rsidR="00804A92">
        <w:rPr>
          <w:rFonts w:ascii="Arial" w:hAnsi="Arial" w:cs="Arial"/>
          <w:noProof/>
          <w:sz w:val="20"/>
          <w:szCs w:val="20"/>
          <w:lang w:val="en-US"/>
        </w:rPr>
        <w:t>307.8</w:t>
      </w:r>
      <w:r>
        <w:rPr>
          <w:rFonts w:ascii="Arial" w:hAnsi="Arial" w:cs="Arial"/>
          <w:noProof/>
          <w:sz w:val="20"/>
          <w:szCs w:val="20"/>
          <w:lang w:val="en-US"/>
        </w:rPr>
        <w:t xml:space="preserve"> K.</w:t>
      </w:r>
    </w:p>
    <w:p w14:paraId="22D539D2" w14:textId="77777777" w:rsidR="00796795" w:rsidRDefault="00796795" w:rsidP="00796795">
      <w:pPr>
        <w:jc w:val="both"/>
        <w:rPr>
          <w:rFonts w:ascii="Arial" w:hAnsi="Arial" w:cs="Arial"/>
          <w:noProof/>
          <w:sz w:val="20"/>
          <w:szCs w:val="20"/>
          <w:lang w:val="en-US"/>
        </w:rPr>
      </w:pPr>
    </w:p>
    <w:p w14:paraId="6917EE06" w14:textId="77777777" w:rsidR="00796795" w:rsidRDefault="00796795" w:rsidP="00796795">
      <w:pPr>
        <w:jc w:val="both"/>
        <w:rPr>
          <w:rFonts w:ascii="Arial" w:hAnsi="Arial" w:cs="Arial"/>
          <w:noProof/>
          <w:sz w:val="20"/>
          <w:szCs w:val="20"/>
          <w:lang w:val="en-US"/>
        </w:rPr>
      </w:pPr>
      <w:r w:rsidRPr="00C466F0">
        <w:rPr>
          <w:rFonts w:ascii="Arial" w:hAnsi="Arial" w:cs="Arial"/>
          <w:noProof/>
          <w:sz w:val="20"/>
          <w:szCs w:val="20"/>
          <w:lang w:val="en-US"/>
        </w:rPr>
        <w:t>Soil concentrations showed large variabilities for all compounds (59.6-3393 ng</w:t>
      </w:r>
      <w:r>
        <w:rPr>
          <w:rFonts w:ascii="Arial" w:hAnsi="Arial" w:cs="Arial"/>
          <w:noProof/>
          <w:sz w:val="20"/>
          <w:szCs w:val="20"/>
          <w:lang w:val="en-US"/>
        </w:rPr>
        <w:t>.</w:t>
      </w:r>
      <w:r w:rsidRPr="00C466F0">
        <w:rPr>
          <w:rFonts w:ascii="Arial" w:hAnsi="Arial" w:cs="Arial"/>
          <w:noProof/>
          <w:sz w:val="20"/>
          <w:szCs w:val="20"/>
          <w:lang w:val="en-US"/>
        </w:rPr>
        <w:t>g</w:t>
      </w:r>
      <w:r w:rsidRPr="00276789">
        <w:rPr>
          <w:rFonts w:ascii="Arial" w:hAnsi="Arial" w:cs="Arial"/>
          <w:noProof/>
          <w:sz w:val="20"/>
          <w:szCs w:val="20"/>
          <w:vertAlign w:val="superscript"/>
          <w:lang w:val="en-US"/>
        </w:rPr>
        <w:t>-1</w:t>
      </w:r>
      <w:r>
        <w:rPr>
          <w:rFonts w:ascii="Arial" w:hAnsi="Arial" w:cs="Arial"/>
          <w:noProof/>
          <w:sz w:val="20"/>
          <w:szCs w:val="20"/>
          <w:lang w:val="en-US"/>
        </w:rPr>
        <w:t xml:space="preserve"> for </w:t>
      </w:r>
      <w:r w:rsidRPr="00C466F0">
        <w:rPr>
          <w:rFonts w:ascii="Arial" w:hAnsi="Arial" w:cs="Arial"/>
          <w:noProof/>
          <w:sz w:val="20"/>
          <w:szCs w:val="20"/>
          <w:lang w:val="en-US"/>
        </w:rPr>
        <w:t>Σ</w:t>
      </w:r>
      <w:r w:rsidRPr="00C466F0">
        <w:rPr>
          <w:rFonts w:ascii="Arial" w:hAnsi="Arial" w:cs="Arial"/>
          <w:noProof/>
          <w:sz w:val="20"/>
          <w:szCs w:val="20"/>
          <w:vertAlign w:val="subscript"/>
          <w:lang w:val="en-US"/>
        </w:rPr>
        <w:t>16</w:t>
      </w:r>
      <w:r w:rsidRPr="00C466F0">
        <w:rPr>
          <w:rFonts w:ascii="Arial" w:hAnsi="Arial" w:cs="Arial"/>
          <w:noProof/>
          <w:sz w:val="20"/>
          <w:szCs w:val="20"/>
          <w:lang w:val="en-US"/>
        </w:rPr>
        <w:t xml:space="preserve">PAHs, </w:t>
      </w:r>
      <w:r>
        <w:rPr>
          <w:rFonts w:ascii="Arial" w:hAnsi="Arial" w:cs="Arial"/>
          <w:noProof/>
          <w:sz w:val="20"/>
          <w:szCs w:val="20"/>
          <w:lang w:val="en-US"/>
        </w:rPr>
        <w:t>0.</w:t>
      </w:r>
      <w:r w:rsidRPr="00C466F0">
        <w:rPr>
          <w:rFonts w:ascii="Arial" w:hAnsi="Arial" w:cs="Arial"/>
          <w:noProof/>
          <w:sz w:val="20"/>
          <w:szCs w:val="20"/>
          <w:lang w:val="en-US"/>
        </w:rPr>
        <w:t>3</w:t>
      </w:r>
      <w:r>
        <w:rPr>
          <w:rFonts w:ascii="Arial" w:hAnsi="Arial" w:cs="Arial"/>
          <w:noProof/>
          <w:sz w:val="20"/>
          <w:szCs w:val="20"/>
          <w:lang w:val="en-US"/>
        </w:rPr>
        <w:t>8</w:t>
      </w:r>
      <w:r w:rsidRPr="00C466F0">
        <w:rPr>
          <w:rFonts w:ascii="Arial" w:hAnsi="Arial" w:cs="Arial"/>
          <w:noProof/>
          <w:sz w:val="20"/>
          <w:szCs w:val="20"/>
          <w:lang w:val="en-US"/>
        </w:rPr>
        <w:t>-</w:t>
      </w:r>
      <w:r>
        <w:rPr>
          <w:rFonts w:ascii="Arial" w:hAnsi="Arial" w:cs="Arial"/>
          <w:noProof/>
          <w:sz w:val="20"/>
          <w:szCs w:val="20"/>
          <w:lang w:val="en-US"/>
        </w:rPr>
        <w:t>0.</w:t>
      </w:r>
      <w:r w:rsidRPr="00C466F0">
        <w:rPr>
          <w:rFonts w:ascii="Arial" w:hAnsi="Arial" w:cs="Arial"/>
          <w:noProof/>
          <w:sz w:val="20"/>
          <w:szCs w:val="20"/>
          <w:lang w:val="en-US"/>
        </w:rPr>
        <w:t>8</w:t>
      </w:r>
      <w:r>
        <w:rPr>
          <w:rFonts w:ascii="Arial" w:hAnsi="Arial" w:cs="Arial"/>
          <w:noProof/>
          <w:sz w:val="20"/>
          <w:szCs w:val="20"/>
          <w:lang w:val="en-US"/>
        </w:rPr>
        <w:t>3</w:t>
      </w:r>
      <w:r w:rsidRPr="00C466F0">
        <w:rPr>
          <w:rFonts w:ascii="Arial" w:hAnsi="Arial" w:cs="Arial"/>
          <w:noProof/>
          <w:sz w:val="20"/>
          <w:szCs w:val="20"/>
          <w:lang w:val="en-US"/>
        </w:rPr>
        <w:t xml:space="preserve"> </w:t>
      </w:r>
      <w:r>
        <w:rPr>
          <w:rFonts w:ascii="Arial" w:hAnsi="Arial" w:cs="Arial"/>
          <w:noProof/>
          <w:sz w:val="20"/>
          <w:szCs w:val="20"/>
          <w:lang w:val="en-US"/>
        </w:rPr>
        <w:t>n</w:t>
      </w:r>
      <w:r w:rsidRPr="00C466F0">
        <w:rPr>
          <w:rFonts w:ascii="Arial" w:hAnsi="Arial" w:cs="Arial"/>
          <w:noProof/>
          <w:sz w:val="20"/>
          <w:szCs w:val="20"/>
          <w:lang w:val="en-US"/>
        </w:rPr>
        <w:t>g</w:t>
      </w:r>
      <w:r>
        <w:rPr>
          <w:rFonts w:ascii="Arial" w:hAnsi="Arial" w:cs="Arial"/>
          <w:noProof/>
          <w:sz w:val="20"/>
          <w:szCs w:val="20"/>
          <w:lang w:val="en-US"/>
        </w:rPr>
        <w:t>.</w:t>
      </w:r>
      <w:r w:rsidRPr="00C466F0">
        <w:rPr>
          <w:rFonts w:ascii="Arial" w:hAnsi="Arial" w:cs="Arial"/>
          <w:noProof/>
          <w:sz w:val="20"/>
          <w:szCs w:val="20"/>
          <w:lang w:val="en-US"/>
        </w:rPr>
        <w:t>g</w:t>
      </w:r>
      <w:r w:rsidRPr="00276789">
        <w:rPr>
          <w:rFonts w:ascii="Arial" w:hAnsi="Arial" w:cs="Arial"/>
          <w:noProof/>
          <w:sz w:val="20"/>
          <w:szCs w:val="20"/>
          <w:vertAlign w:val="superscript"/>
          <w:lang w:val="en-US"/>
        </w:rPr>
        <w:t>-1</w:t>
      </w:r>
      <w:r>
        <w:rPr>
          <w:rFonts w:ascii="Arial" w:hAnsi="Arial" w:cs="Arial"/>
          <w:noProof/>
          <w:sz w:val="20"/>
          <w:szCs w:val="20"/>
          <w:lang w:val="en-US"/>
        </w:rPr>
        <w:t xml:space="preserve"> for </w:t>
      </w:r>
      <w:r w:rsidRPr="00C466F0">
        <w:rPr>
          <w:rFonts w:ascii="Arial" w:hAnsi="Arial" w:cs="Arial"/>
          <w:noProof/>
          <w:sz w:val="20"/>
          <w:szCs w:val="20"/>
          <w:lang w:val="en-US"/>
        </w:rPr>
        <w:t>Σ</w:t>
      </w:r>
      <w:r w:rsidRPr="00C466F0">
        <w:rPr>
          <w:rFonts w:ascii="Arial" w:hAnsi="Arial" w:cs="Arial"/>
          <w:noProof/>
          <w:sz w:val="20"/>
          <w:szCs w:val="20"/>
          <w:vertAlign w:val="subscript"/>
          <w:lang w:val="en-US"/>
        </w:rPr>
        <w:t>7</w:t>
      </w:r>
      <w:r w:rsidRPr="00C466F0">
        <w:rPr>
          <w:rFonts w:ascii="Arial" w:hAnsi="Arial" w:cs="Arial"/>
          <w:noProof/>
          <w:sz w:val="20"/>
          <w:szCs w:val="20"/>
          <w:lang w:val="en-US"/>
        </w:rPr>
        <w:t xml:space="preserve">PCBs, </w:t>
      </w:r>
      <w:r>
        <w:rPr>
          <w:rFonts w:ascii="Arial" w:hAnsi="Arial" w:cs="Arial"/>
          <w:noProof/>
          <w:sz w:val="20"/>
          <w:szCs w:val="20"/>
          <w:lang w:val="en-US"/>
        </w:rPr>
        <w:t>0.</w:t>
      </w:r>
      <w:r w:rsidRPr="00C466F0">
        <w:rPr>
          <w:rFonts w:ascii="Arial" w:hAnsi="Arial" w:cs="Arial"/>
          <w:noProof/>
          <w:sz w:val="20"/>
          <w:szCs w:val="20"/>
          <w:lang w:val="en-US"/>
        </w:rPr>
        <w:t>8</w:t>
      </w:r>
      <w:r>
        <w:rPr>
          <w:rFonts w:ascii="Arial" w:hAnsi="Arial" w:cs="Arial"/>
          <w:noProof/>
          <w:sz w:val="20"/>
          <w:szCs w:val="20"/>
          <w:lang w:val="en-US"/>
        </w:rPr>
        <w:t>6</w:t>
      </w:r>
      <w:r w:rsidRPr="00C466F0">
        <w:rPr>
          <w:rFonts w:ascii="Arial" w:hAnsi="Arial" w:cs="Arial"/>
          <w:noProof/>
          <w:sz w:val="20"/>
          <w:szCs w:val="20"/>
          <w:lang w:val="en-US"/>
        </w:rPr>
        <w:t>-26</w:t>
      </w:r>
      <w:r>
        <w:rPr>
          <w:rFonts w:ascii="Arial" w:hAnsi="Arial" w:cs="Arial"/>
          <w:noProof/>
          <w:sz w:val="20"/>
          <w:szCs w:val="20"/>
          <w:lang w:val="en-US"/>
        </w:rPr>
        <w:t>.4</w:t>
      </w:r>
      <w:r w:rsidRPr="00C466F0">
        <w:rPr>
          <w:rFonts w:ascii="Arial" w:hAnsi="Arial" w:cs="Arial"/>
          <w:noProof/>
          <w:sz w:val="20"/>
          <w:szCs w:val="20"/>
          <w:lang w:val="en-US"/>
        </w:rPr>
        <w:t xml:space="preserve"> </w:t>
      </w:r>
      <w:r>
        <w:rPr>
          <w:rFonts w:ascii="Arial" w:hAnsi="Arial" w:cs="Arial"/>
          <w:noProof/>
          <w:sz w:val="20"/>
          <w:szCs w:val="20"/>
          <w:lang w:val="en-US"/>
        </w:rPr>
        <w:t>n</w:t>
      </w:r>
      <w:r w:rsidRPr="00C466F0">
        <w:rPr>
          <w:rFonts w:ascii="Arial" w:hAnsi="Arial" w:cs="Arial"/>
          <w:noProof/>
          <w:sz w:val="20"/>
          <w:szCs w:val="20"/>
          <w:lang w:val="en-US"/>
        </w:rPr>
        <w:t>g</w:t>
      </w:r>
      <w:r>
        <w:rPr>
          <w:rFonts w:ascii="Arial" w:hAnsi="Arial" w:cs="Arial"/>
          <w:noProof/>
          <w:sz w:val="20"/>
          <w:szCs w:val="20"/>
          <w:lang w:val="en-US"/>
        </w:rPr>
        <w:t>.</w:t>
      </w:r>
      <w:r w:rsidRPr="00C466F0">
        <w:rPr>
          <w:rFonts w:ascii="Arial" w:hAnsi="Arial" w:cs="Arial"/>
          <w:noProof/>
          <w:sz w:val="20"/>
          <w:szCs w:val="20"/>
          <w:lang w:val="en-US"/>
        </w:rPr>
        <w:t>g</w:t>
      </w:r>
      <w:r w:rsidRPr="00276789">
        <w:rPr>
          <w:rFonts w:ascii="Arial" w:hAnsi="Arial" w:cs="Arial"/>
          <w:noProof/>
          <w:sz w:val="20"/>
          <w:szCs w:val="20"/>
          <w:vertAlign w:val="superscript"/>
          <w:lang w:val="en-US"/>
        </w:rPr>
        <w:t>-1</w:t>
      </w:r>
      <w:r w:rsidRPr="00C466F0">
        <w:rPr>
          <w:rFonts w:ascii="Arial" w:hAnsi="Arial" w:cs="Arial"/>
          <w:noProof/>
          <w:sz w:val="20"/>
          <w:szCs w:val="20"/>
          <w:lang w:val="en-US"/>
        </w:rPr>
        <w:t xml:space="preserve"> </w:t>
      </w:r>
      <w:r>
        <w:rPr>
          <w:rFonts w:ascii="Arial" w:hAnsi="Arial" w:cs="Arial"/>
          <w:noProof/>
          <w:sz w:val="20"/>
          <w:szCs w:val="20"/>
          <w:lang w:val="en-US"/>
        </w:rPr>
        <w:t xml:space="preserve">for </w:t>
      </w:r>
      <w:r w:rsidRPr="00C466F0">
        <w:rPr>
          <w:rFonts w:ascii="Arial" w:hAnsi="Arial" w:cs="Arial"/>
          <w:noProof/>
          <w:sz w:val="20"/>
          <w:szCs w:val="20"/>
          <w:lang w:val="en-US"/>
        </w:rPr>
        <w:t>Σ</w:t>
      </w:r>
      <w:r w:rsidRPr="00C466F0">
        <w:rPr>
          <w:rFonts w:ascii="Arial" w:hAnsi="Arial" w:cs="Arial"/>
          <w:noProof/>
          <w:sz w:val="20"/>
          <w:szCs w:val="20"/>
          <w:vertAlign w:val="subscript"/>
          <w:lang w:val="en-US"/>
        </w:rPr>
        <w:t>12</w:t>
      </w:r>
      <w:r w:rsidRPr="00C466F0">
        <w:rPr>
          <w:rFonts w:ascii="Arial" w:hAnsi="Arial" w:cs="Arial"/>
          <w:noProof/>
          <w:sz w:val="20"/>
          <w:szCs w:val="20"/>
          <w:lang w:val="en-US"/>
        </w:rPr>
        <w:t xml:space="preserve">OCPs and </w:t>
      </w:r>
      <w:r>
        <w:rPr>
          <w:rFonts w:ascii="Arial" w:hAnsi="Arial" w:cs="Arial"/>
          <w:noProof/>
          <w:sz w:val="20"/>
          <w:szCs w:val="20"/>
          <w:lang w:val="en-US"/>
        </w:rPr>
        <w:t>0.0</w:t>
      </w:r>
      <w:r w:rsidRPr="00C466F0">
        <w:rPr>
          <w:rFonts w:ascii="Arial" w:hAnsi="Arial" w:cs="Arial"/>
          <w:noProof/>
          <w:sz w:val="20"/>
          <w:szCs w:val="20"/>
          <w:lang w:val="en-US"/>
        </w:rPr>
        <w:t>18-</w:t>
      </w:r>
      <w:r>
        <w:rPr>
          <w:rFonts w:ascii="Arial" w:hAnsi="Arial" w:cs="Arial"/>
          <w:noProof/>
          <w:sz w:val="20"/>
          <w:szCs w:val="20"/>
          <w:lang w:val="en-US"/>
        </w:rPr>
        <w:t>0.0</w:t>
      </w:r>
      <w:r w:rsidRPr="00C466F0">
        <w:rPr>
          <w:rFonts w:ascii="Arial" w:hAnsi="Arial" w:cs="Arial"/>
          <w:noProof/>
          <w:sz w:val="20"/>
          <w:szCs w:val="20"/>
          <w:lang w:val="en-US"/>
        </w:rPr>
        <w:t xml:space="preserve">67 </w:t>
      </w:r>
      <w:r>
        <w:rPr>
          <w:rFonts w:ascii="Arial" w:hAnsi="Arial" w:cs="Arial"/>
          <w:noProof/>
          <w:sz w:val="20"/>
          <w:szCs w:val="20"/>
          <w:lang w:val="en-US"/>
        </w:rPr>
        <w:t>n</w:t>
      </w:r>
      <w:r w:rsidRPr="00C466F0">
        <w:rPr>
          <w:rFonts w:ascii="Arial" w:hAnsi="Arial" w:cs="Arial"/>
          <w:noProof/>
          <w:sz w:val="20"/>
          <w:szCs w:val="20"/>
          <w:lang w:val="en-US"/>
        </w:rPr>
        <w:t>g</w:t>
      </w:r>
      <w:r>
        <w:rPr>
          <w:rFonts w:ascii="Arial" w:hAnsi="Arial" w:cs="Arial"/>
          <w:noProof/>
          <w:sz w:val="20"/>
          <w:szCs w:val="20"/>
          <w:lang w:val="en-US"/>
        </w:rPr>
        <w:t>.</w:t>
      </w:r>
      <w:r w:rsidRPr="00C466F0">
        <w:rPr>
          <w:rFonts w:ascii="Arial" w:hAnsi="Arial" w:cs="Arial"/>
          <w:noProof/>
          <w:sz w:val="20"/>
          <w:szCs w:val="20"/>
          <w:lang w:val="en-US"/>
        </w:rPr>
        <w:t>g</w:t>
      </w:r>
      <w:r w:rsidRPr="00276789">
        <w:rPr>
          <w:rFonts w:ascii="Arial" w:hAnsi="Arial" w:cs="Arial"/>
          <w:noProof/>
          <w:sz w:val="20"/>
          <w:szCs w:val="20"/>
          <w:vertAlign w:val="superscript"/>
          <w:lang w:val="en-US"/>
        </w:rPr>
        <w:t>-1</w:t>
      </w:r>
      <w:r>
        <w:rPr>
          <w:rFonts w:ascii="Arial" w:hAnsi="Arial" w:cs="Arial"/>
          <w:noProof/>
          <w:sz w:val="20"/>
          <w:szCs w:val="20"/>
          <w:lang w:val="en-US"/>
        </w:rPr>
        <w:t xml:space="preserve"> for </w:t>
      </w:r>
      <w:r w:rsidRPr="00C466F0">
        <w:rPr>
          <w:rFonts w:ascii="Arial" w:hAnsi="Arial" w:cs="Arial"/>
          <w:noProof/>
          <w:sz w:val="20"/>
          <w:szCs w:val="20"/>
          <w:lang w:val="en-US"/>
        </w:rPr>
        <w:t>Σ</w:t>
      </w:r>
      <w:r w:rsidRPr="00C466F0">
        <w:rPr>
          <w:rFonts w:ascii="Arial" w:hAnsi="Arial" w:cs="Arial"/>
          <w:noProof/>
          <w:sz w:val="20"/>
          <w:szCs w:val="20"/>
          <w:vertAlign w:val="subscript"/>
          <w:lang w:val="en-US"/>
        </w:rPr>
        <w:t>9</w:t>
      </w:r>
      <w:r w:rsidRPr="00C466F0">
        <w:rPr>
          <w:rFonts w:ascii="Arial" w:hAnsi="Arial" w:cs="Arial"/>
          <w:noProof/>
          <w:sz w:val="20"/>
          <w:szCs w:val="20"/>
          <w:lang w:val="en-US"/>
        </w:rPr>
        <w:t xml:space="preserve">PBDEs). </w:t>
      </w:r>
    </w:p>
    <w:p w14:paraId="561359FC" w14:textId="77777777" w:rsidR="00796795" w:rsidRDefault="00796795" w:rsidP="00796795">
      <w:pPr>
        <w:jc w:val="both"/>
        <w:rPr>
          <w:rFonts w:ascii="Arial" w:hAnsi="Arial" w:cs="Arial"/>
          <w:noProof/>
          <w:sz w:val="20"/>
          <w:szCs w:val="20"/>
          <w:lang w:val="en-US"/>
        </w:rPr>
      </w:pPr>
    </w:p>
    <w:p w14:paraId="3F6FF16A" w14:textId="77777777" w:rsidR="00796795" w:rsidRPr="00C466F0" w:rsidRDefault="00796795" w:rsidP="00796795">
      <w:pPr>
        <w:jc w:val="both"/>
        <w:rPr>
          <w:rFonts w:ascii="Arial" w:hAnsi="Arial" w:cs="Arial"/>
          <w:noProof/>
          <w:sz w:val="20"/>
          <w:szCs w:val="20"/>
          <w:lang w:val="en-US"/>
        </w:rPr>
      </w:pPr>
      <w:r>
        <w:rPr>
          <w:rFonts w:ascii="Arial" w:hAnsi="Arial" w:cs="Arial"/>
          <w:noProof/>
          <w:sz w:val="20"/>
          <w:szCs w:val="20"/>
          <w:lang w:val="en-US"/>
        </w:rPr>
        <w:t>Gaseous</w:t>
      </w:r>
      <w:r w:rsidRPr="00C466F0">
        <w:rPr>
          <w:rFonts w:ascii="Arial" w:hAnsi="Arial" w:cs="Arial"/>
          <w:noProof/>
          <w:sz w:val="20"/>
          <w:szCs w:val="20"/>
          <w:lang w:val="en-US"/>
        </w:rPr>
        <w:t xml:space="preserve"> concentrations of all compounds </w:t>
      </w:r>
      <w:r>
        <w:rPr>
          <w:rFonts w:ascii="Arial" w:hAnsi="Arial" w:cs="Arial"/>
          <w:noProof/>
          <w:sz w:val="20"/>
          <w:szCs w:val="20"/>
          <w:lang w:val="en-US"/>
        </w:rPr>
        <w:t>were</w:t>
      </w:r>
      <w:r w:rsidRPr="00C466F0">
        <w:rPr>
          <w:rFonts w:ascii="Arial" w:hAnsi="Arial" w:cs="Arial"/>
          <w:noProof/>
          <w:sz w:val="20"/>
          <w:szCs w:val="20"/>
          <w:lang w:val="en-US"/>
        </w:rPr>
        <w:t xml:space="preserve"> </w:t>
      </w:r>
      <w:r>
        <w:rPr>
          <w:rFonts w:ascii="Arial" w:hAnsi="Arial" w:cs="Arial"/>
          <w:noProof/>
          <w:sz w:val="20"/>
          <w:szCs w:val="20"/>
          <w:lang w:val="en-US"/>
        </w:rPr>
        <w:t xml:space="preserve">higher </w:t>
      </w:r>
      <w:r w:rsidRPr="00C466F0">
        <w:rPr>
          <w:rFonts w:ascii="Arial" w:hAnsi="Arial" w:cs="Arial"/>
          <w:noProof/>
          <w:sz w:val="20"/>
          <w:szCs w:val="20"/>
          <w:lang w:val="en-US"/>
        </w:rPr>
        <w:t>during the day (mean day/night ratio ranged from 1.04 for BDE</w:t>
      </w:r>
      <w:r>
        <w:rPr>
          <w:rFonts w:ascii="Arial" w:hAnsi="Arial" w:cs="Arial"/>
          <w:noProof/>
          <w:sz w:val="20"/>
          <w:szCs w:val="20"/>
          <w:lang w:val="en-US"/>
        </w:rPr>
        <w:t xml:space="preserve"> </w:t>
      </w:r>
      <w:r w:rsidRPr="00C466F0">
        <w:rPr>
          <w:rFonts w:ascii="Arial" w:hAnsi="Arial" w:cs="Arial"/>
          <w:noProof/>
          <w:sz w:val="20"/>
          <w:szCs w:val="20"/>
          <w:lang w:val="en-US"/>
        </w:rPr>
        <w:t>66 to 8.45 for PCB</w:t>
      </w:r>
      <w:r>
        <w:rPr>
          <w:rFonts w:ascii="Arial" w:hAnsi="Arial" w:cs="Arial"/>
          <w:noProof/>
          <w:sz w:val="20"/>
          <w:szCs w:val="20"/>
          <w:lang w:val="en-US"/>
        </w:rPr>
        <w:t xml:space="preserve"> </w:t>
      </w:r>
      <w:r w:rsidRPr="00C466F0">
        <w:rPr>
          <w:rFonts w:ascii="Arial" w:hAnsi="Arial" w:cs="Arial"/>
          <w:noProof/>
          <w:sz w:val="20"/>
          <w:szCs w:val="20"/>
          <w:lang w:val="en-US"/>
        </w:rPr>
        <w:t>28)</w:t>
      </w:r>
      <w:r>
        <w:rPr>
          <w:rFonts w:ascii="Arial" w:hAnsi="Arial" w:cs="Arial"/>
          <w:noProof/>
          <w:sz w:val="20"/>
          <w:szCs w:val="20"/>
          <w:lang w:val="en-US"/>
        </w:rPr>
        <w:t>, e</w:t>
      </w:r>
      <w:r w:rsidRPr="00C466F0">
        <w:rPr>
          <w:rFonts w:ascii="Arial" w:hAnsi="Arial" w:cs="Arial"/>
          <w:noProof/>
          <w:sz w:val="20"/>
          <w:szCs w:val="20"/>
          <w:lang w:val="en-US"/>
        </w:rPr>
        <w:t xml:space="preserve">xcept </w:t>
      </w:r>
      <w:r>
        <w:rPr>
          <w:rFonts w:ascii="Arial" w:hAnsi="Arial" w:cs="Arial"/>
          <w:noProof/>
          <w:sz w:val="20"/>
          <w:szCs w:val="20"/>
          <w:lang w:val="en-US"/>
        </w:rPr>
        <w:t>for pentachlorobenzene (</w:t>
      </w:r>
      <w:r w:rsidRPr="00C466F0">
        <w:rPr>
          <w:rFonts w:ascii="Arial" w:hAnsi="Arial" w:cs="Arial"/>
          <w:noProof/>
          <w:sz w:val="20"/>
          <w:szCs w:val="20"/>
          <w:lang w:val="en-US"/>
        </w:rPr>
        <w:t>PeCB</w:t>
      </w:r>
      <w:r>
        <w:rPr>
          <w:rFonts w:ascii="Arial" w:hAnsi="Arial" w:cs="Arial"/>
          <w:noProof/>
          <w:sz w:val="20"/>
          <w:szCs w:val="20"/>
          <w:lang w:val="en-US"/>
        </w:rPr>
        <w:t>)</w:t>
      </w:r>
      <w:r w:rsidRPr="00C466F0">
        <w:rPr>
          <w:rFonts w:ascii="Arial" w:hAnsi="Arial" w:cs="Arial"/>
          <w:noProof/>
          <w:sz w:val="20"/>
          <w:szCs w:val="20"/>
          <w:lang w:val="en-US"/>
        </w:rPr>
        <w:t xml:space="preserve">. </w:t>
      </w:r>
      <w:r>
        <w:rPr>
          <w:rFonts w:ascii="Arial" w:hAnsi="Arial" w:cs="Arial"/>
          <w:noProof/>
          <w:sz w:val="20"/>
          <w:szCs w:val="20"/>
          <w:lang w:val="en-US"/>
        </w:rPr>
        <w:t>Day-to-night variations were more pronounced for all compounds close to the ground</w:t>
      </w:r>
      <w:r w:rsidRPr="00662325">
        <w:rPr>
          <w:rFonts w:ascii="Arial" w:hAnsi="Arial" w:cs="Arial"/>
          <w:noProof/>
          <w:sz w:val="20"/>
          <w:szCs w:val="20"/>
          <w:lang w:val="en-US"/>
        </w:rPr>
        <w:t xml:space="preserve"> </w:t>
      </w:r>
      <w:r>
        <w:rPr>
          <w:rFonts w:ascii="Arial" w:hAnsi="Arial" w:cs="Arial"/>
          <w:noProof/>
          <w:sz w:val="20"/>
          <w:szCs w:val="20"/>
          <w:lang w:val="en-US"/>
        </w:rPr>
        <w:t>(</w:t>
      </w:r>
      <w:r w:rsidRPr="00C466F0">
        <w:rPr>
          <w:rFonts w:ascii="Arial" w:hAnsi="Arial" w:cs="Arial"/>
          <w:noProof/>
          <w:sz w:val="20"/>
          <w:szCs w:val="20"/>
          <w:lang w:val="en-US"/>
        </w:rPr>
        <w:t>mean day/night ratio ranged from 1.</w:t>
      </w:r>
      <w:r>
        <w:rPr>
          <w:rFonts w:ascii="Arial" w:hAnsi="Arial" w:cs="Arial"/>
          <w:noProof/>
          <w:sz w:val="20"/>
          <w:szCs w:val="20"/>
          <w:lang w:val="en-US"/>
        </w:rPr>
        <w:t>43</w:t>
      </w:r>
      <w:r w:rsidRPr="00C466F0">
        <w:rPr>
          <w:rFonts w:ascii="Arial" w:hAnsi="Arial" w:cs="Arial"/>
          <w:noProof/>
          <w:sz w:val="20"/>
          <w:szCs w:val="20"/>
          <w:lang w:val="en-US"/>
        </w:rPr>
        <w:t xml:space="preserve"> for </w:t>
      </w:r>
      <w:r>
        <w:rPr>
          <w:rFonts w:ascii="Arial" w:hAnsi="Arial" w:cs="Arial"/>
          <w:noProof/>
          <w:sz w:val="20"/>
          <w:szCs w:val="20"/>
          <w:lang w:val="en-US"/>
        </w:rPr>
        <w:t>PeCB</w:t>
      </w:r>
      <w:r w:rsidRPr="00C466F0">
        <w:rPr>
          <w:rFonts w:ascii="Arial" w:hAnsi="Arial" w:cs="Arial"/>
          <w:noProof/>
          <w:sz w:val="20"/>
          <w:szCs w:val="20"/>
          <w:lang w:val="en-US"/>
        </w:rPr>
        <w:t xml:space="preserve"> to </w:t>
      </w:r>
      <w:r>
        <w:rPr>
          <w:rFonts w:ascii="Arial" w:hAnsi="Arial" w:cs="Arial"/>
          <w:noProof/>
          <w:sz w:val="20"/>
          <w:szCs w:val="20"/>
          <w:lang w:val="en-US"/>
        </w:rPr>
        <w:t>14.4</w:t>
      </w:r>
      <w:r w:rsidRPr="00C466F0">
        <w:rPr>
          <w:rFonts w:ascii="Arial" w:hAnsi="Arial" w:cs="Arial"/>
          <w:noProof/>
          <w:sz w:val="20"/>
          <w:szCs w:val="20"/>
          <w:lang w:val="en-US"/>
        </w:rPr>
        <w:t xml:space="preserve"> for</w:t>
      </w:r>
      <w:r>
        <w:rPr>
          <w:rFonts w:ascii="Arial" w:hAnsi="Arial" w:cs="Arial"/>
          <w:noProof/>
          <w:sz w:val="20"/>
          <w:szCs w:val="20"/>
          <w:lang w:val="en-US"/>
        </w:rPr>
        <w:t xml:space="preserve"> </w:t>
      </w:r>
      <w:r w:rsidRPr="00662325">
        <w:rPr>
          <w:rFonts w:ascii="Arial" w:hAnsi="Arial" w:cs="Arial"/>
          <w:i/>
          <w:noProof/>
          <w:sz w:val="20"/>
          <w:szCs w:val="20"/>
          <w:lang w:val="en-US"/>
        </w:rPr>
        <w:t>p,p’</w:t>
      </w:r>
      <w:r>
        <w:rPr>
          <w:rFonts w:ascii="Arial" w:hAnsi="Arial" w:cs="Arial"/>
          <w:noProof/>
          <w:sz w:val="20"/>
          <w:szCs w:val="20"/>
          <w:lang w:val="en-US"/>
        </w:rPr>
        <w:t xml:space="preserve">-DDE), , except for PCB 118, which suggests that volatilization from the soils driven by temperature is strongly influencing concentrations in air. </w:t>
      </w:r>
    </w:p>
    <w:p w14:paraId="448D3351" w14:textId="77777777" w:rsidR="00796795" w:rsidRDefault="00796795" w:rsidP="00796795">
      <w:pPr>
        <w:jc w:val="both"/>
        <w:rPr>
          <w:rFonts w:ascii="Arial" w:hAnsi="Arial" w:cs="Arial"/>
          <w:noProof/>
          <w:sz w:val="20"/>
          <w:szCs w:val="20"/>
          <w:lang w:val="en-US"/>
        </w:rPr>
      </w:pPr>
    </w:p>
    <w:p w14:paraId="7B830CB6" w14:textId="6D8B9009" w:rsidR="00BF265D" w:rsidRDefault="00796795" w:rsidP="00796795">
      <w:pPr>
        <w:jc w:val="both"/>
        <w:rPr>
          <w:rFonts w:ascii="Arial" w:hAnsi="Arial" w:cs="Arial"/>
          <w:noProof/>
          <w:sz w:val="20"/>
          <w:szCs w:val="20"/>
          <w:lang w:val="en-US"/>
        </w:rPr>
      </w:pPr>
      <w:r>
        <w:rPr>
          <w:rFonts w:ascii="Arial" w:hAnsi="Arial" w:cs="Arial"/>
          <w:noProof/>
          <w:sz w:val="20"/>
          <w:szCs w:val="20"/>
          <w:lang w:val="en-US"/>
        </w:rPr>
        <w:t xml:space="preserve">The measured fugacities in air and soil suggest that soil acts as a sink for the low chlorinated PCBs, </w:t>
      </w:r>
      <w:r w:rsidRPr="003D320C">
        <w:rPr>
          <w:rFonts w:ascii="Arial" w:hAnsi="Arial" w:cs="Arial"/>
          <w:i/>
          <w:noProof/>
          <w:sz w:val="20"/>
          <w:szCs w:val="20"/>
          <w:lang w:val="en-US"/>
        </w:rPr>
        <w:t>γ</w:t>
      </w:r>
      <w:r>
        <w:rPr>
          <w:rFonts w:ascii="Arial" w:hAnsi="Arial" w:cs="Arial"/>
          <w:noProof/>
          <w:sz w:val="20"/>
          <w:szCs w:val="20"/>
          <w:lang w:val="en-US"/>
        </w:rPr>
        <w:t>-hexachlorocyclohexane (</w:t>
      </w:r>
      <w:r w:rsidRPr="003D320C">
        <w:rPr>
          <w:rFonts w:ascii="Arial" w:hAnsi="Arial" w:cs="Arial"/>
          <w:i/>
          <w:noProof/>
          <w:sz w:val="20"/>
          <w:szCs w:val="20"/>
          <w:lang w:val="en-US"/>
        </w:rPr>
        <w:t>γ</w:t>
      </w:r>
      <w:r>
        <w:rPr>
          <w:rFonts w:ascii="Arial" w:hAnsi="Arial" w:cs="Arial"/>
          <w:noProof/>
          <w:sz w:val="20"/>
          <w:szCs w:val="20"/>
          <w:lang w:val="en-US"/>
        </w:rPr>
        <w:t xml:space="preserve">-HCH) and </w:t>
      </w:r>
      <w:r w:rsidRPr="000D46E9">
        <w:rPr>
          <w:rFonts w:ascii="Arial" w:hAnsi="Arial" w:cs="Arial"/>
          <w:i/>
          <w:noProof/>
          <w:sz w:val="20"/>
          <w:szCs w:val="20"/>
          <w:lang w:val="en-US"/>
        </w:rPr>
        <w:t>o,p’</w:t>
      </w:r>
      <w:r>
        <w:rPr>
          <w:rFonts w:ascii="Arial" w:hAnsi="Arial" w:cs="Arial"/>
          <w:noProof/>
          <w:sz w:val="20"/>
          <w:szCs w:val="20"/>
          <w:lang w:val="en-US"/>
        </w:rPr>
        <w:t>-dichlorodiphenyltrichloroethane (</w:t>
      </w:r>
      <w:r w:rsidRPr="000D46E9">
        <w:rPr>
          <w:rFonts w:ascii="Arial" w:hAnsi="Arial" w:cs="Arial"/>
          <w:i/>
          <w:noProof/>
          <w:sz w:val="20"/>
          <w:szCs w:val="20"/>
          <w:lang w:val="en-US"/>
        </w:rPr>
        <w:t>o,p’</w:t>
      </w:r>
      <w:r>
        <w:rPr>
          <w:rFonts w:ascii="Arial" w:hAnsi="Arial" w:cs="Arial"/>
          <w:noProof/>
          <w:sz w:val="20"/>
          <w:szCs w:val="20"/>
          <w:lang w:val="en-US"/>
        </w:rPr>
        <w:t xml:space="preserve">-DDT), but as a source for the high chlorinated PCBs, PAHs, </w:t>
      </w:r>
      <w:r w:rsidRPr="000D46E9">
        <w:rPr>
          <w:rFonts w:ascii="Arial" w:hAnsi="Arial" w:cs="Arial"/>
          <w:i/>
          <w:noProof/>
          <w:sz w:val="20"/>
          <w:szCs w:val="20"/>
          <w:lang w:val="en-US"/>
        </w:rPr>
        <w:t>o,p’</w:t>
      </w:r>
      <w:r>
        <w:rPr>
          <w:rFonts w:ascii="Arial" w:hAnsi="Arial" w:cs="Arial"/>
          <w:noProof/>
          <w:sz w:val="20"/>
          <w:szCs w:val="20"/>
          <w:lang w:val="en-US"/>
        </w:rPr>
        <w:t>-dichlorodiphenyldichloroethane (</w:t>
      </w:r>
      <w:r w:rsidRPr="000D46E9">
        <w:rPr>
          <w:rFonts w:ascii="Arial" w:hAnsi="Arial" w:cs="Arial"/>
          <w:i/>
          <w:noProof/>
          <w:sz w:val="20"/>
          <w:szCs w:val="20"/>
          <w:lang w:val="en-US"/>
        </w:rPr>
        <w:t>o,p’</w:t>
      </w:r>
      <w:r>
        <w:rPr>
          <w:rFonts w:ascii="Arial" w:hAnsi="Arial" w:cs="Arial"/>
          <w:noProof/>
          <w:sz w:val="20"/>
          <w:szCs w:val="20"/>
          <w:lang w:val="en-US"/>
        </w:rPr>
        <w:t xml:space="preserve">-DDD), </w:t>
      </w:r>
      <w:r w:rsidRPr="000D46E9">
        <w:rPr>
          <w:rFonts w:ascii="Arial" w:hAnsi="Arial" w:cs="Arial"/>
          <w:i/>
          <w:noProof/>
          <w:sz w:val="20"/>
          <w:szCs w:val="20"/>
          <w:lang w:val="en-US"/>
        </w:rPr>
        <w:t>p,p’</w:t>
      </w:r>
      <w:r>
        <w:rPr>
          <w:rFonts w:ascii="Arial" w:hAnsi="Arial" w:cs="Arial"/>
          <w:noProof/>
          <w:sz w:val="20"/>
          <w:szCs w:val="20"/>
          <w:lang w:val="en-US"/>
        </w:rPr>
        <w:t xml:space="preserve">-DDD and PBDEs. In the case of PeCB, hexachlorobenzene (HCB), </w:t>
      </w:r>
      <w:r w:rsidRPr="003D320C">
        <w:rPr>
          <w:rFonts w:ascii="Arial" w:hAnsi="Arial" w:cs="Arial"/>
          <w:i/>
          <w:noProof/>
          <w:sz w:val="20"/>
          <w:szCs w:val="20"/>
          <w:lang w:val="en-US"/>
        </w:rPr>
        <w:t>α</w:t>
      </w:r>
      <w:r>
        <w:rPr>
          <w:rFonts w:ascii="Arial" w:hAnsi="Arial" w:cs="Arial"/>
          <w:noProof/>
          <w:sz w:val="20"/>
          <w:szCs w:val="20"/>
          <w:lang w:val="en-US"/>
        </w:rPr>
        <w:t xml:space="preserve">-HCH, </w:t>
      </w:r>
      <w:r w:rsidRPr="003D320C">
        <w:rPr>
          <w:rFonts w:ascii="Arial" w:hAnsi="Arial" w:cs="Arial"/>
          <w:i/>
          <w:noProof/>
          <w:sz w:val="20"/>
          <w:szCs w:val="20"/>
          <w:lang w:val="en-US"/>
        </w:rPr>
        <w:t>β</w:t>
      </w:r>
      <w:r>
        <w:rPr>
          <w:rFonts w:ascii="Arial" w:hAnsi="Arial" w:cs="Arial"/>
          <w:noProof/>
          <w:sz w:val="20"/>
          <w:szCs w:val="20"/>
          <w:lang w:val="en-US"/>
        </w:rPr>
        <w:t xml:space="preserve">-HCH and </w:t>
      </w:r>
      <w:r w:rsidRPr="000D46E9">
        <w:rPr>
          <w:rFonts w:ascii="Arial" w:hAnsi="Arial" w:cs="Arial"/>
          <w:i/>
          <w:noProof/>
          <w:sz w:val="20"/>
          <w:szCs w:val="20"/>
          <w:lang w:val="en-US"/>
        </w:rPr>
        <w:t>p,p’</w:t>
      </w:r>
      <w:r>
        <w:rPr>
          <w:rFonts w:ascii="Arial" w:hAnsi="Arial" w:cs="Arial"/>
          <w:noProof/>
          <w:sz w:val="20"/>
          <w:szCs w:val="20"/>
          <w:lang w:val="en-US"/>
        </w:rPr>
        <w:t>-dichlorodiphenyldichloroethylene (</w:t>
      </w:r>
      <w:r w:rsidRPr="000D46E9">
        <w:rPr>
          <w:rFonts w:ascii="Arial" w:hAnsi="Arial" w:cs="Arial"/>
          <w:i/>
          <w:noProof/>
          <w:sz w:val="20"/>
          <w:szCs w:val="20"/>
          <w:lang w:val="en-US"/>
        </w:rPr>
        <w:t>p,p’</w:t>
      </w:r>
      <w:r>
        <w:rPr>
          <w:rFonts w:ascii="Arial" w:hAnsi="Arial" w:cs="Arial"/>
          <w:noProof/>
          <w:sz w:val="20"/>
          <w:szCs w:val="20"/>
          <w:lang w:val="en-US"/>
        </w:rPr>
        <w:t xml:space="preserve">-DDE), diurnal variations in the dominating fluxes were observed with volatilization being the dominant process occuring during the day and deposition during the night. </w:t>
      </w:r>
    </w:p>
    <w:p w14:paraId="1E219518" w14:textId="77777777" w:rsidR="00BF265D" w:rsidRDefault="00BF265D" w:rsidP="00796795">
      <w:pPr>
        <w:jc w:val="both"/>
        <w:rPr>
          <w:rFonts w:ascii="Arial" w:hAnsi="Arial" w:cs="Arial"/>
          <w:noProof/>
          <w:sz w:val="20"/>
          <w:szCs w:val="20"/>
          <w:lang w:val="en-US"/>
        </w:rPr>
      </w:pPr>
    </w:p>
    <w:p w14:paraId="09617BE2" w14:textId="77777777" w:rsidR="00BF265D" w:rsidRDefault="00BF265D" w:rsidP="00796795">
      <w:pPr>
        <w:jc w:val="both"/>
        <w:rPr>
          <w:rFonts w:ascii="Arial" w:hAnsi="Arial" w:cs="Arial"/>
          <w:noProof/>
          <w:sz w:val="20"/>
          <w:szCs w:val="20"/>
          <w:lang w:val="en-US"/>
        </w:rPr>
      </w:pPr>
    </w:p>
    <w:p w14:paraId="64F416CC" w14:textId="77777777" w:rsidR="00796795" w:rsidRDefault="00796795" w:rsidP="00796795">
      <w:pPr>
        <w:jc w:val="both"/>
        <w:rPr>
          <w:rFonts w:ascii="Arial" w:hAnsi="Arial" w:cs="Arial"/>
          <w:noProof/>
          <w:sz w:val="20"/>
          <w:szCs w:val="20"/>
          <w:lang w:val="en-US"/>
        </w:rPr>
      </w:pPr>
      <w:r>
        <w:rPr>
          <w:rFonts w:ascii="Arial" w:hAnsi="Arial" w:cs="Arial"/>
          <w:noProof/>
          <w:sz w:val="20"/>
          <w:szCs w:val="20"/>
          <w:lang w:val="en-US"/>
        </w:rPr>
        <w:t>Reference:</w:t>
      </w:r>
    </w:p>
    <w:p w14:paraId="12FE9FE9" w14:textId="4D495A14" w:rsidR="00A04919" w:rsidRPr="00A04919" w:rsidRDefault="0053503A">
      <w:pPr>
        <w:pStyle w:val="NormalWeb"/>
        <w:ind w:left="480" w:hanging="480"/>
        <w:divId w:val="895893439"/>
        <w:rPr>
          <w:rFonts w:ascii="Arial" w:hAnsi="Arial" w:cs="Arial"/>
          <w:noProof/>
          <w:sz w:val="20"/>
        </w:rPr>
      </w:pPr>
      <w:r>
        <w:rPr>
          <w:rFonts w:ascii="Arial" w:hAnsi="Arial" w:cs="Arial"/>
          <w:noProof/>
          <w:sz w:val="20"/>
          <w:szCs w:val="20"/>
          <w:lang w:val="en-US"/>
        </w:rPr>
        <w:fldChar w:fldCharType="begin" w:fldLock="1"/>
      </w:r>
      <w:r>
        <w:rPr>
          <w:rFonts w:ascii="Arial" w:hAnsi="Arial" w:cs="Arial"/>
          <w:noProof/>
          <w:sz w:val="20"/>
          <w:szCs w:val="20"/>
          <w:lang w:val="en-US"/>
        </w:rPr>
        <w:instrText xml:space="preserve">ADDIN Mendeley Bibliography CSL_BIBLIOGRAPHY </w:instrText>
      </w:r>
      <w:r>
        <w:rPr>
          <w:rFonts w:ascii="Arial" w:hAnsi="Arial" w:cs="Arial"/>
          <w:noProof/>
          <w:sz w:val="20"/>
          <w:szCs w:val="20"/>
          <w:lang w:val="en-US"/>
        </w:rPr>
        <w:fldChar w:fldCharType="separate"/>
      </w:r>
      <w:r w:rsidR="00A04919" w:rsidRPr="00804A92">
        <w:rPr>
          <w:rFonts w:ascii="Arial" w:hAnsi="Arial" w:cs="Arial"/>
          <w:noProof/>
          <w:sz w:val="20"/>
          <w:lang w:val="en-US"/>
        </w:rPr>
        <w:t xml:space="preserve">Cabrerizo, A., Dachs, J., Barceló, D., 2009. Development of a soil fugacity sampler for determination of air - soil partitioning of persistent organic pollutants under field controlled conditions. </w:t>
      </w:r>
      <w:r w:rsidR="00A04919" w:rsidRPr="00A04919">
        <w:rPr>
          <w:rFonts w:ascii="Arial" w:hAnsi="Arial" w:cs="Arial"/>
          <w:noProof/>
          <w:sz w:val="20"/>
        </w:rPr>
        <w:t>Environ. Sci. Technol. 43, 8257–8263. doi:10.1021/es9020525</w:t>
      </w:r>
    </w:p>
    <w:p w14:paraId="1AF7E333" w14:textId="7E1EE4B2" w:rsidR="0053503A" w:rsidRPr="00943F27" w:rsidRDefault="0053503A" w:rsidP="0053503A">
      <w:pPr>
        <w:pStyle w:val="NormalWeb"/>
        <w:ind w:left="480" w:hanging="480"/>
        <w:divId w:val="1813979263"/>
        <w:rPr>
          <w:rFonts w:ascii="Arial" w:hAnsi="Arial" w:cs="Arial"/>
          <w:noProof/>
          <w:sz w:val="20"/>
          <w:szCs w:val="20"/>
          <w:lang w:val="en-US"/>
        </w:rPr>
      </w:pPr>
      <w:r>
        <w:rPr>
          <w:rFonts w:ascii="Arial" w:hAnsi="Arial" w:cs="Arial"/>
          <w:noProof/>
          <w:sz w:val="20"/>
          <w:szCs w:val="20"/>
          <w:lang w:val="en-US"/>
        </w:rPr>
        <w:fldChar w:fldCharType="end"/>
      </w:r>
      <w:r w:rsidRPr="00943F27">
        <w:rPr>
          <w:rFonts w:ascii="Arial" w:hAnsi="Arial" w:cs="Arial"/>
          <w:noProof/>
          <w:sz w:val="20"/>
          <w:szCs w:val="20"/>
          <w:lang w:val="en-US"/>
        </w:rPr>
        <w:t xml:space="preserve"> </w:t>
      </w:r>
    </w:p>
    <w:p w14:paraId="031B88BF" w14:textId="022691A3" w:rsidR="00796795" w:rsidRPr="00943F27" w:rsidRDefault="00796795" w:rsidP="0053503A">
      <w:pPr>
        <w:jc w:val="both"/>
        <w:rPr>
          <w:rFonts w:ascii="Arial" w:hAnsi="Arial" w:cs="Arial"/>
          <w:noProof/>
          <w:sz w:val="20"/>
          <w:szCs w:val="20"/>
          <w:lang w:val="en-US"/>
        </w:rPr>
      </w:pPr>
    </w:p>
    <w:p w14:paraId="5259CBCC" w14:textId="77777777" w:rsidR="00437CAB" w:rsidRPr="0053503A" w:rsidRDefault="00AE7388">
      <w:pPr>
        <w:rPr>
          <w:lang w:val="en-US"/>
        </w:rPr>
      </w:pPr>
    </w:p>
    <w:sectPr w:rsidR="00437CAB" w:rsidRPr="0053503A"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95"/>
    <w:rsid w:val="000D5EA9"/>
    <w:rsid w:val="001D1291"/>
    <w:rsid w:val="003B0CBC"/>
    <w:rsid w:val="00474DD4"/>
    <w:rsid w:val="0053503A"/>
    <w:rsid w:val="006F21D6"/>
    <w:rsid w:val="00740169"/>
    <w:rsid w:val="00796795"/>
    <w:rsid w:val="00804A92"/>
    <w:rsid w:val="009846C0"/>
    <w:rsid w:val="00A04919"/>
    <w:rsid w:val="00AE7388"/>
    <w:rsid w:val="00BF265D"/>
    <w:rsid w:val="00D65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F227"/>
  <w15:chartTrackingRefBased/>
  <w15:docId w15:val="{EBC19F99-298A-495C-A80E-3F617B1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95"/>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795"/>
    <w:rPr>
      <w:color w:val="0000FF"/>
      <w:u w:val="single"/>
    </w:rPr>
  </w:style>
  <w:style w:type="character" w:styleId="CommentReference">
    <w:name w:val="annotation reference"/>
    <w:basedOn w:val="DefaultParagraphFont"/>
    <w:uiPriority w:val="99"/>
    <w:semiHidden/>
    <w:unhideWhenUsed/>
    <w:rsid w:val="00796795"/>
    <w:rPr>
      <w:sz w:val="16"/>
      <w:szCs w:val="16"/>
    </w:rPr>
  </w:style>
  <w:style w:type="paragraph" w:styleId="CommentText">
    <w:name w:val="annotation text"/>
    <w:basedOn w:val="Normal"/>
    <w:link w:val="CommentTextChar"/>
    <w:uiPriority w:val="99"/>
    <w:semiHidden/>
    <w:unhideWhenUsed/>
    <w:rsid w:val="00796795"/>
    <w:rPr>
      <w:sz w:val="20"/>
      <w:szCs w:val="20"/>
    </w:rPr>
  </w:style>
  <w:style w:type="character" w:customStyle="1" w:styleId="CommentTextChar">
    <w:name w:val="Comment Text Char"/>
    <w:basedOn w:val="DefaultParagraphFont"/>
    <w:link w:val="CommentText"/>
    <w:uiPriority w:val="99"/>
    <w:semiHidden/>
    <w:rsid w:val="00796795"/>
    <w:rPr>
      <w:rFonts w:ascii="Times New Roman" w:eastAsia="Times New Roman" w:hAnsi="Times New Roman" w:cs="Times New Roman"/>
      <w:sz w:val="20"/>
      <w:szCs w:val="20"/>
      <w:lang w:eastAsia="de-DE"/>
    </w:rPr>
  </w:style>
  <w:style w:type="paragraph" w:styleId="BalloonText">
    <w:name w:val="Balloon Text"/>
    <w:basedOn w:val="Normal"/>
    <w:link w:val="BalloonTextChar"/>
    <w:uiPriority w:val="99"/>
    <w:semiHidden/>
    <w:unhideWhenUsed/>
    <w:rsid w:val="00796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795"/>
    <w:rPr>
      <w:rFonts w:ascii="Segoe UI" w:eastAsia="Times New Roman" w:hAnsi="Segoe UI" w:cs="Segoe UI"/>
      <w:sz w:val="18"/>
      <w:szCs w:val="18"/>
      <w:lang w:eastAsia="de-DE"/>
    </w:rPr>
  </w:style>
  <w:style w:type="paragraph" w:styleId="NormalWeb">
    <w:name w:val="Normal (Web)"/>
    <w:basedOn w:val="Normal"/>
    <w:uiPriority w:val="99"/>
    <w:unhideWhenUsed/>
    <w:rsid w:val="0053503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0746">
      <w:bodyDiv w:val="1"/>
      <w:marLeft w:val="0"/>
      <w:marRight w:val="0"/>
      <w:marTop w:val="0"/>
      <w:marBottom w:val="0"/>
      <w:divBdr>
        <w:top w:val="none" w:sz="0" w:space="0" w:color="auto"/>
        <w:left w:val="none" w:sz="0" w:space="0" w:color="auto"/>
        <w:bottom w:val="none" w:sz="0" w:space="0" w:color="auto"/>
        <w:right w:val="none" w:sz="0" w:space="0" w:color="auto"/>
      </w:divBdr>
    </w:div>
    <w:div w:id="2001884588">
      <w:bodyDiv w:val="1"/>
      <w:marLeft w:val="0"/>
      <w:marRight w:val="0"/>
      <w:marTop w:val="0"/>
      <w:marBottom w:val="0"/>
      <w:divBdr>
        <w:top w:val="none" w:sz="0" w:space="0" w:color="auto"/>
        <w:left w:val="none" w:sz="0" w:space="0" w:color="auto"/>
        <w:bottom w:val="none" w:sz="0" w:space="0" w:color="auto"/>
        <w:right w:val="none" w:sz="0" w:space="0" w:color="auto"/>
      </w:divBdr>
      <w:divsChild>
        <w:div w:id="923953205">
          <w:marLeft w:val="0"/>
          <w:marRight w:val="0"/>
          <w:marTop w:val="0"/>
          <w:marBottom w:val="0"/>
          <w:divBdr>
            <w:top w:val="none" w:sz="0" w:space="0" w:color="auto"/>
            <w:left w:val="none" w:sz="0" w:space="0" w:color="auto"/>
            <w:bottom w:val="none" w:sz="0" w:space="0" w:color="auto"/>
            <w:right w:val="none" w:sz="0" w:space="0" w:color="auto"/>
          </w:divBdr>
          <w:divsChild>
            <w:div w:id="864098213">
              <w:marLeft w:val="0"/>
              <w:marRight w:val="0"/>
              <w:marTop w:val="0"/>
              <w:marBottom w:val="0"/>
              <w:divBdr>
                <w:top w:val="none" w:sz="0" w:space="0" w:color="auto"/>
                <w:left w:val="none" w:sz="0" w:space="0" w:color="auto"/>
                <w:bottom w:val="none" w:sz="0" w:space="0" w:color="auto"/>
                <w:right w:val="none" w:sz="0" w:space="0" w:color="auto"/>
              </w:divBdr>
              <w:divsChild>
                <w:div w:id="275720041">
                  <w:marLeft w:val="0"/>
                  <w:marRight w:val="0"/>
                  <w:marTop w:val="0"/>
                  <w:marBottom w:val="0"/>
                  <w:divBdr>
                    <w:top w:val="none" w:sz="0" w:space="0" w:color="auto"/>
                    <w:left w:val="none" w:sz="0" w:space="0" w:color="auto"/>
                    <w:bottom w:val="none" w:sz="0" w:space="0" w:color="auto"/>
                    <w:right w:val="none" w:sz="0" w:space="0" w:color="auto"/>
                  </w:divBdr>
                  <w:divsChild>
                    <w:div w:id="2040229714">
                      <w:marLeft w:val="0"/>
                      <w:marRight w:val="0"/>
                      <w:marTop w:val="0"/>
                      <w:marBottom w:val="0"/>
                      <w:divBdr>
                        <w:top w:val="none" w:sz="0" w:space="0" w:color="auto"/>
                        <w:left w:val="none" w:sz="0" w:space="0" w:color="auto"/>
                        <w:bottom w:val="none" w:sz="0" w:space="0" w:color="auto"/>
                        <w:right w:val="none" w:sz="0" w:space="0" w:color="auto"/>
                      </w:divBdr>
                      <w:divsChild>
                        <w:div w:id="1465852622">
                          <w:marLeft w:val="0"/>
                          <w:marRight w:val="0"/>
                          <w:marTop w:val="0"/>
                          <w:marBottom w:val="0"/>
                          <w:divBdr>
                            <w:top w:val="none" w:sz="0" w:space="0" w:color="auto"/>
                            <w:left w:val="none" w:sz="0" w:space="0" w:color="auto"/>
                            <w:bottom w:val="none" w:sz="0" w:space="0" w:color="auto"/>
                            <w:right w:val="none" w:sz="0" w:space="0" w:color="auto"/>
                          </w:divBdr>
                          <w:divsChild>
                            <w:div w:id="101003521">
                              <w:marLeft w:val="0"/>
                              <w:marRight w:val="0"/>
                              <w:marTop w:val="0"/>
                              <w:marBottom w:val="0"/>
                              <w:divBdr>
                                <w:top w:val="none" w:sz="0" w:space="0" w:color="auto"/>
                                <w:left w:val="none" w:sz="0" w:space="0" w:color="auto"/>
                                <w:bottom w:val="none" w:sz="0" w:space="0" w:color="auto"/>
                                <w:right w:val="none" w:sz="0" w:space="0" w:color="auto"/>
                              </w:divBdr>
                              <w:divsChild>
                                <w:div w:id="1825124252">
                                  <w:marLeft w:val="0"/>
                                  <w:marRight w:val="0"/>
                                  <w:marTop w:val="0"/>
                                  <w:marBottom w:val="0"/>
                                  <w:divBdr>
                                    <w:top w:val="none" w:sz="0" w:space="0" w:color="auto"/>
                                    <w:left w:val="none" w:sz="0" w:space="0" w:color="auto"/>
                                    <w:bottom w:val="none" w:sz="0" w:space="0" w:color="auto"/>
                                    <w:right w:val="none" w:sz="0" w:space="0" w:color="auto"/>
                                  </w:divBdr>
                                  <w:divsChild>
                                    <w:div w:id="8958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7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eline.degrendele@mpic.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D713-CEC1-48CA-B66A-C7E9EB34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Max-Planck-Institut Chemie</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Degrendele, Celine</dc:creator>
  <cp:keywords/>
  <dc:description/>
  <cp:lastModifiedBy>Degrendele, Celine</cp:lastModifiedBy>
  <cp:revision>5</cp:revision>
  <dcterms:created xsi:type="dcterms:W3CDTF">2015-04-28T15:46:00Z</dcterms:created>
  <dcterms:modified xsi:type="dcterms:W3CDTF">2015-05-04T09:37:00Z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celine.degrendele@mpic.de@www.mendeley.com</vt:lpwstr>
  </property>
  <property fmtid="{D5CDD505-2E9C-101B-9397-08002B2CF9AE}" pid="4" name="Mendeley Citation Style_1">
    <vt:lpwstr>http://www.zotero.org/styles/atmospheric-environment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http://www.zotero.org/styles/atmospheric-environment</vt:lpwstr>
  </property>
  <property fmtid="{D5CDD505-2E9C-101B-9397-08002B2CF9AE}" pid="12" name="Mendeley Recent Style Name 3_1">
    <vt:lpwstr>Atmospheric Environment</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