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63" w:rsidRPr="00732063" w:rsidRDefault="00D55B8E" w:rsidP="00732063">
      <w:pPr>
        <w:jc w:val="both"/>
        <w:rPr>
          <w:rFonts w:ascii="Arial" w:hAnsi="Arial" w:cs="Arial"/>
          <w:b/>
          <w:sz w:val="28"/>
          <w:szCs w:val="28"/>
          <w:lang w:val="en-US"/>
        </w:rPr>
      </w:pPr>
      <w:r>
        <w:rPr>
          <w:rFonts w:ascii="Arial" w:hAnsi="Arial" w:cs="Arial"/>
          <w:b/>
          <w:sz w:val="28"/>
          <w:szCs w:val="28"/>
          <w:lang w:val="en-US"/>
        </w:rPr>
        <w:t xml:space="preserve">Biogenic residue </w:t>
      </w:r>
      <w:r w:rsidR="006D1AF7">
        <w:rPr>
          <w:rFonts w:ascii="Arial" w:hAnsi="Arial" w:cs="Arial"/>
          <w:b/>
          <w:sz w:val="28"/>
          <w:szCs w:val="28"/>
          <w:lang w:val="en-US"/>
        </w:rPr>
        <w:t xml:space="preserve">formation </w:t>
      </w:r>
      <w:r>
        <w:rPr>
          <w:rFonts w:ascii="Arial" w:hAnsi="Arial" w:cs="Arial"/>
          <w:b/>
          <w:sz w:val="28"/>
          <w:szCs w:val="28"/>
          <w:lang w:val="en-US"/>
        </w:rPr>
        <w:t xml:space="preserve">from pesticides </w:t>
      </w:r>
      <w:r w:rsidR="00277421">
        <w:rPr>
          <w:rFonts w:ascii="Arial" w:hAnsi="Arial" w:cs="Arial"/>
          <w:b/>
          <w:sz w:val="28"/>
          <w:szCs w:val="28"/>
          <w:lang w:val="en-US"/>
        </w:rPr>
        <w:t>in soil</w:t>
      </w:r>
      <w:r>
        <w:rPr>
          <w:rFonts w:ascii="Arial" w:hAnsi="Arial" w:cs="Arial"/>
          <w:b/>
          <w:sz w:val="28"/>
          <w:szCs w:val="28"/>
          <w:lang w:val="en-US"/>
        </w:rPr>
        <w:t xml:space="preserve">: </w:t>
      </w:r>
      <w:r w:rsidR="0002660F">
        <w:rPr>
          <w:rFonts w:ascii="Arial" w:hAnsi="Arial" w:cs="Arial"/>
          <w:b/>
          <w:sz w:val="28"/>
          <w:szCs w:val="28"/>
          <w:lang w:val="en-US"/>
        </w:rPr>
        <w:t>extent and</w:t>
      </w:r>
      <w:r w:rsidR="00572632">
        <w:rPr>
          <w:rFonts w:ascii="Arial" w:hAnsi="Arial" w:cs="Arial"/>
          <w:b/>
          <w:sz w:val="28"/>
          <w:szCs w:val="28"/>
          <w:lang w:val="en-US"/>
        </w:rPr>
        <w:t xml:space="preserve"> </w:t>
      </w:r>
      <w:r>
        <w:rPr>
          <w:rFonts w:ascii="Arial" w:hAnsi="Arial" w:cs="Arial"/>
          <w:b/>
          <w:sz w:val="28"/>
          <w:szCs w:val="28"/>
          <w:lang w:val="en-US"/>
        </w:rPr>
        <w:t xml:space="preserve">relevance </w:t>
      </w:r>
      <w:r w:rsidR="0024303B">
        <w:rPr>
          <w:rFonts w:ascii="Arial" w:hAnsi="Arial" w:cs="Arial"/>
          <w:b/>
          <w:sz w:val="28"/>
          <w:szCs w:val="28"/>
          <w:lang w:val="en-US"/>
        </w:rPr>
        <w:t xml:space="preserve">for </w:t>
      </w:r>
      <w:r w:rsidR="00572632">
        <w:rPr>
          <w:rFonts w:ascii="Arial" w:hAnsi="Arial" w:cs="Arial"/>
          <w:b/>
          <w:sz w:val="28"/>
          <w:szCs w:val="28"/>
          <w:lang w:val="en-US"/>
        </w:rPr>
        <w:t>risk assessment</w:t>
      </w:r>
      <w:r>
        <w:rPr>
          <w:rFonts w:ascii="Arial" w:hAnsi="Arial" w:cs="Arial"/>
          <w:b/>
          <w:sz w:val="28"/>
          <w:szCs w:val="28"/>
          <w:lang w:val="en-US"/>
        </w:rPr>
        <w:t>.</w:t>
      </w:r>
    </w:p>
    <w:p w:rsidR="001F4812" w:rsidRPr="00732063" w:rsidRDefault="001F4812" w:rsidP="00DF6705">
      <w:pPr>
        <w:spacing w:after="120"/>
        <w:rPr>
          <w:rFonts w:ascii="Arial" w:hAnsi="Arial" w:cs="Arial"/>
          <w:b/>
          <w:noProof/>
          <w:sz w:val="32"/>
          <w:szCs w:val="32"/>
          <w:lang w:val="en-US"/>
        </w:rPr>
      </w:pPr>
    </w:p>
    <w:p w:rsidR="00732063" w:rsidRPr="00732063" w:rsidRDefault="00277421" w:rsidP="00732063">
      <w:pPr>
        <w:spacing w:line="360" w:lineRule="auto"/>
        <w:jc w:val="both"/>
        <w:rPr>
          <w:rFonts w:ascii="Arial" w:eastAsia="SimSun" w:hAnsi="Arial" w:cs="Arial"/>
          <w:smallCaps/>
          <w:vertAlign w:val="superscript"/>
          <w:lang w:val="en-US"/>
        </w:rPr>
      </w:pPr>
      <w:r w:rsidRPr="00C857AF">
        <w:rPr>
          <w:rFonts w:ascii="Arial" w:eastAsia="SimSun" w:hAnsi="Arial" w:cs="Arial"/>
          <w:smallCaps/>
          <w:u w:val="single"/>
          <w:lang w:val="en-US"/>
        </w:rPr>
        <w:t>Karolina M. Nowak</w:t>
      </w:r>
      <w:r w:rsidRPr="00C857AF">
        <w:rPr>
          <w:rFonts w:ascii="Arial" w:eastAsia="SimSun" w:hAnsi="Arial" w:cs="Arial"/>
          <w:smallCaps/>
          <w:u w:val="single"/>
          <w:vertAlign w:val="superscript"/>
          <w:lang w:val="en-US"/>
        </w:rPr>
        <w:t>1</w:t>
      </w:r>
      <w:r>
        <w:rPr>
          <w:rFonts w:ascii="Arial" w:eastAsia="SimSun" w:hAnsi="Arial" w:cs="Arial"/>
          <w:smallCaps/>
          <w:lang w:val="en-US"/>
        </w:rPr>
        <w:t xml:space="preserve">, </w:t>
      </w:r>
      <w:proofErr w:type="spellStart"/>
      <w:r w:rsidR="00732063" w:rsidRPr="00C857AF">
        <w:rPr>
          <w:rFonts w:ascii="Arial" w:eastAsia="SimSun" w:hAnsi="Arial" w:cs="Arial"/>
          <w:smallCaps/>
          <w:lang w:val="en-US"/>
        </w:rPr>
        <w:t>Shizong</w:t>
      </w:r>
      <w:proofErr w:type="spellEnd"/>
      <w:r w:rsidR="00732063" w:rsidRPr="00C857AF">
        <w:rPr>
          <w:rFonts w:ascii="Arial" w:eastAsia="SimSun" w:hAnsi="Arial" w:cs="Arial"/>
          <w:smallCaps/>
          <w:lang w:val="en-US"/>
        </w:rPr>
        <w:t xml:space="preserve"> Wang</w:t>
      </w:r>
      <w:r w:rsidR="00732063" w:rsidRPr="00C857AF">
        <w:rPr>
          <w:rFonts w:ascii="Arial" w:eastAsia="SimSun" w:hAnsi="Arial" w:cs="Arial"/>
          <w:smallCaps/>
          <w:vertAlign w:val="superscript"/>
          <w:lang w:val="en-US"/>
        </w:rPr>
        <w:t>2</w:t>
      </w:r>
      <w:proofErr w:type="gramStart"/>
      <w:r w:rsidRPr="00C857AF">
        <w:rPr>
          <w:rFonts w:ascii="Arial" w:eastAsia="SimSun" w:hAnsi="Arial" w:cs="Arial"/>
          <w:smallCaps/>
          <w:vertAlign w:val="superscript"/>
          <w:lang w:val="en-US"/>
        </w:rPr>
        <w:t>,3</w:t>
      </w:r>
      <w:proofErr w:type="gramEnd"/>
      <w:r w:rsidR="00732063">
        <w:rPr>
          <w:rFonts w:ascii="Arial" w:eastAsia="SimSun" w:hAnsi="Arial" w:cs="Arial"/>
          <w:smallCaps/>
          <w:lang w:val="en-US"/>
        </w:rPr>
        <w:t>,</w:t>
      </w:r>
      <w:r w:rsidR="00CA30E5">
        <w:rPr>
          <w:rFonts w:ascii="Arial" w:eastAsia="SimSun" w:hAnsi="Arial" w:cs="Arial"/>
          <w:smallCaps/>
          <w:lang w:val="en-US"/>
        </w:rPr>
        <w:t xml:space="preserve"> </w:t>
      </w:r>
      <w:r w:rsidR="00732063" w:rsidRPr="00732063">
        <w:rPr>
          <w:rFonts w:ascii="Arial" w:eastAsia="SimSun" w:hAnsi="Arial" w:cs="Arial"/>
          <w:smallCaps/>
          <w:lang w:val="en-US"/>
        </w:rPr>
        <w:t>Bettina Seiwert</w:t>
      </w:r>
      <w:r>
        <w:rPr>
          <w:rFonts w:ascii="Arial" w:eastAsia="SimSun" w:hAnsi="Arial" w:cs="Arial"/>
          <w:smallCaps/>
          <w:vertAlign w:val="superscript"/>
          <w:lang w:val="en-US"/>
        </w:rPr>
        <w:t>4</w:t>
      </w:r>
      <w:r w:rsidR="00732063" w:rsidRPr="00732063">
        <w:rPr>
          <w:rFonts w:ascii="Arial" w:eastAsia="SimSun" w:hAnsi="Arial" w:cs="Arial"/>
          <w:smallCaps/>
          <w:lang w:val="en-US"/>
        </w:rPr>
        <w:t>,</w:t>
      </w:r>
      <w:r w:rsidR="00732063" w:rsidRPr="00732063">
        <w:rPr>
          <w:rFonts w:ascii="Arial" w:hAnsi="Arial" w:cs="Arial"/>
          <w:smallCaps/>
          <w:lang w:val="en-US"/>
        </w:rPr>
        <w:t xml:space="preserve"> </w:t>
      </w:r>
      <w:r w:rsidR="005A5469">
        <w:rPr>
          <w:rFonts w:ascii="Arial" w:hAnsi="Arial" w:cs="Arial"/>
          <w:smallCaps/>
          <w:noProof/>
          <w:lang w:val="en-US"/>
        </w:rPr>
        <w:t xml:space="preserve">Anja </w:t>
      </w:r>
      <w:r w:rsidR="005A5469" w:rsidRPr="005A5469">
        <w:rPr>
          <w:rFonts w:ascii="Arial" w:hAnsi="Arial" w:cs="Arial"/>
          <w:smallCaps/>
          <w:noProof/>
          <w:lang w:val="en-US"/>
        </w:rPr>
        <w:t>Miltner</w:t>
      </w:r>
      <w:r w:rsidR="005A5469" w:rsidRPr="005A5469">
        <w:rPr>
          <w:rFonts w:ascii="Arial" w:hAnsi="Arial" w:cs="Arial"/>
          <w:smallCaps/>
          <w:noProof/>
          <w:vertAlign w:val="superscript"/>
          <w:lang w:val="en-US"/>
        </w:rPr>
        <w:t>2</w:t>
      </w:r>
      <w:r w:rsidR="005A5469">
        <w:rPr>
          <w:rFonts w:ascii="Arial" w:hAnsi="Arial" w:cs="Arial"/>
          <w:smallCaps/>
          <w:noProof/>
          <w:lang w:val="en-US"/>
        </w:rPr>
        <w:t xml:space="preserve">, </w:t>
      </w:r>
      <w:r w:rsidR="00732063" w:rsidRPr="005A5469">
        <w:rPr>
          <w:rFonts w:ascii="Arial" w:eastAsia="SimSun" w:hAnsi="Arial" w:cs="Arial"/>
          <w:smallCaps/>
          <w:lang w:val="en-US"/>
        </w:rPr>
        <w:t>Andreas</w:t>
      </w:r>
      <w:r w:rsidR="00732063" w:rsidRPr="00732063">
        <w:rPr>
          <w:rFonts w:ascii="Arial" w:eastAsia="SimSun" w:hAnsi="Arial" w:cs="Arial"/>
          <w:smallCaps/>
          <w:lang w:val="en-US"/>
        </w:rPr>
        <w:t xml:space="preserve"> Schäffer</w:t>
      </w:r>
      <w:r>
        <w:rPr>
          <w:rFonts w:ascii="Arial" w:eastAsia="SimSun" w:hAnsi="Arial" w:cs="Arial"/>
          <w:smallCaps/>
          <w:vertAlign w:val="superscript"/>
          <w:lang w:val="en-US"/>
        </w:rPr>
        <w:t>1</w:t>
      </w:r>
      <w:r w:rsidR="00732063" w:rsidRPr="00732063">
        <w:rPr>
          <w:rFonts w:ascii="Arial" w:eastAsia="SimSun" w:hAnsi="Arial" w:cs="Arial"/>
          <w:smallCaps/>
          <w:lang w:val="en-US"/>
        </w:rPr>
        <w:t>,</w:t>
      </w:r>
      <w:r>
        <w:rPr>
          <w:rFonts w:ascii="Arial" w:hAnsi="Arial" w:cs="Arial"/>
          <w:smallCaps/>
          <w:noProof/>
          <w:lang w:val="en-US"/>
        </w:rPr>
        <w:t xml:space="preserve"> </w:t>
      </w:r>
      <w:r w:rsidR="00732063" w:rsidRPr="00277421">
        <w:rPr>
          <w:rFonts w:ascii="Arial" w:hAnsi="Arial" w:cs="Arial"/>
          <w:smallCaps/>
          <w:lang w:val="en-US"/>
        </w:rPr>
        <w:t>Thorsten</w:t>
      </w:r>
      <w:r w:rsidR="00732063" w:rsidRPr="00732063">
        <w:rPr>
          <w:rFonts w:ascii="Arial" w:hAnsi="Arial" w:cs="Arial"/>
          <w:smallCaps/>
          <w:lang w:val="en-US"/>
        </w:rPr>
        <w:t xml:space="preserve"> Reemtsma</w:t>
      </w:r>
      <w:r>
        <w:rPr>
          <w:rFonts w:ascii="Arial" w:hAnsi="Arial" w:cs="Arial"/>
          <w:smallCaps/>
          <w:vertAlign w:val="superscript"/>
          <w:lang w:val="en-US"/>
        </w:rPr>
        <w:t>4</w:t>
      </w:r>
      <w:r w:rsidR="00732063" w:rsidRPr="00732063">
        <w:rPr>
          <w:rFonts w:ascii="Arial" w:eastAsia="SimSun" w:hAnsi="Arial" w:cs="Arial"/>
          <w:smallCaps/>
          <w:lang w:val="en-US"/>
        </w:rPr>
        <w:t>,</w:t>
      </w:r>
      <w:r w:rsidR="00732063" w:rsidRPr="00732063">
        <w:rPr>
          <w:rFonts w:ascii="Arial" w:hAnsi="Arial" w:cs="Arial"/>
          <w:smallCaps/>
          <w:lang w:val="en-US"/>
        </w:rPr>
        <w:t xml:space="preserve"> </w:t>
      </w:r>
      <w:r w:rsidRPr="00732063">
        <w:rPr>
          <w:rFonts w:ascii="Arial" w:eastAsia="SimSun" w:hAnsi="Arial" w:cs="Arial"/>
          <w:smallCaps/>
          <w:lang w:val="en-US"/>
        </w:rPr>
        <w:t>Matthias Kästner</w:t>
      </w:r>
      <w:r>
        <w:rPr>
          <w:rFonts w:ascii="Arial" w:eastAsia="SimSun" w:hAnsi="Arial" w:cs="Arial"/>
          <w:smallCaps/>
          <w:vertAlign w:val="superscript"/>
          <w:lang w:val="en-US"/>
        </w:rPr>
        <w:t>2</w:t>
      </w:r>
    </w:p>
    <w:p w:rsidR="00277421" w:rsidRPr="00732063" w:rsidRDefault="00277421" w:rsidP="00277421">
      <w:pPr>
        <w:rPr>
          <w:rFonts w:ascii="Arial" w:eastAsia="SimSun" w:hAnsi="Arial" w:cs="Arial"/>
          <w:sz w:val="18"/>
          <w:szCs w:val="18"/>
          <w:vertAlign w:val="superscript"/>
          <w:lang w:val="en-US"/>
        </w:rPr>
      </w:pPr>
      <w:r>
        <w:rPr>
          <w:rFonts w:ascii="Arial" w:eastAsia="SimSun" w:hAnsi="Arial" w:cs="Arial"/>
          <w:bCs/>
          <w:sz w:val="18"/>
          <w:szCs w:val="18"/>
          <w:vertAlign w:val="superscript"/>
          <w:lang w:val="en-US"/>
        </w:rPr>
        <w:t>1</w:t>
      </w:r>
      <w:r w:rsidRPr="00732063">
        <w:rPr>
          <w:rFonts w:ascii="Arial" w:hAnsi="Arial" w:cs="Arial"/>
          <w:sz w:val="18"/>
          <w:szCs w:val="18"/>
          <w:lang w:val="en-US"/>
        </w:rPr>
        <w:t xml:space="preserve"> </w:t>
      </w:r>
      <w:r w:rsidRPr="00732063">
        <w:rPr>
          <w:rFonts w:ascii="Arial" w:eastAsia="SimSun" w:hAnsi="Arial" w:cs="Arial"/>
          <w:bCs/>
          <w:sz w:val="18"/>
          <w:szCs w:val="18"/>
          <w:lang w:val="en-US"/>
        </w:rPr>
        <w:t xml:space="preserve">RWTH Aachen University, Institute for Environmental Research, </w:t>
      </w:r>
      <w:proofErr w:type="spellStart"/>
      <w:r w:rsidRPr="00732063">
        <w:rPr>
          <w:rFonts w:ascii="Arial" w:eastAsia="SimSun" w:hAnsi="Arial" w:cs="Arial"/>
          <w:bCs/>
          <w:sz w:val="18"/>
          <w:szCs w:val="18"/>
          <w:lang w:val="en-US"/>
        </w:rPr>
        <w:t>Worringerweg</w:t>
      </w:r>
      <w:proofErr w:type="spellEnd"/>
      <w:r w:rsidRPr="00732063">
        <w:rPr>
          <w:rFonts w:ascii="Arial" w:eastAsia="SimSun" w:hAnsi="Arial" w:cs="Arial"/>
          <w:bCs/>
          <w:sz w:val="18"/>
          <w:szCs w:val="18"/>
          <w:lang w:val="en-US"/>
        </w:rPr>
        <w:t xml:space="preserve"> 1, 52074 Aachen, Germany</w:t>
      </w:r>
    </w:p>
    <w:p w:rsidR="00732063" w:rsidRPr="00732063" w:rsidRDefault="00277421" w:rsidP="00732063">
      <w:pPr>
        <w:rPr>
          <w:rFonts w:ascii="Arial" w:eastAsia="SimSun" w:hAnsi="Arial" w:cs="Arial"/>
          <w:sz w:val="18"/>
          <w:szCs w:val="18"/>
          <w:lang w:val="en-US"/>
        </w:rPr>
      </w:pPr>
      <w:r>
        <w:rPr>
          <w:rFonts w:ascii="Arial" w:eastAsia="SimSun" w:hAnsi="Arial" w:cs="Arial"/>
          <w:sz w:val="18"/>
          <w:szCs w:val="18"/>
          <w:vertAlign w:val="superscript"/>
          <w:lang w:val="en-US"/>
        </w:rPr>
        <w:t>2</w:t>
      </w:r>
      <w:r w:rsidR="00732063" w:rsidRPr="00732063">
        <w:rPr>
          <w:rFonts w:ascii="Arial" w:hAnsi="Arial" w:cs="Arial"/>
          <w:sz w:val="18"/>
          <w:szCs w:val="18"/>
          <w:lang w:val="en-US"/>
        </w:rPr>
        <w:t xml:space="preserve"> </w:t>
      </w:r>
      <w:proofErr w:type="gramStart"/>
      <w:r w:rsidR="00732063" w:rsidRPr="00732063">
        <w:rPr>
          <w:rFonts w:ascii="Arial" w:eastAsia="SimSun" w:hAnsi="Arial" w:cs="Arial"/>
          <w:sz w:val="18"/>
          <w:szCs w:val="18"/>
          <w:lang w:val="en-US"/>
        </w:rPr>
        <w:t>Helmholtz-Centre</w:t>
      </w:r>
      <w:proofErr w:type="gramEnd"/>
      <w:r w:rsidR="00732063" w:rsidRPr="00732063">
        <w:rPr>
          <w:rFonts w:ascii="Arial" w:eastAsia="SimSun" w:hAnsi="Arial" w:cs="Arial"/>
          <w:sz w:val="18"/>
          <w:szCs w:val="18"/>
          <w:lang w:val="en-US"/>
        </w:rPr>
        <w:t xml:space="preserve"> for Environmental Research – UFZ, Department of Environmental Biotechnology, </w:t>
      </w:r>
      <w:proofErr w:type="spellStart"/>
      <w:r w:rsidR="00732063" w:rsidRPr="00732063">
        <w:rPr>
          <w:rFonts w:ascii="Arial" w:eastAsia="SimSun" w:hAnsi="Arial" w:cs="Arial"/>
          <w:sz w:val="18"/>
          <w:szCs w:val="18"/>
          <w:lang w:val="en-US"/>
        </w:rPr>
        <w:t>Permoserstr</w:t>
      </w:r>
      <w:proofErr w:type="spellEnd"/>
      <w:r w:rsidR="00732063" w:rsidRPr="00732063">
        <w:rPr>
          <w:rFonts w:ascii="Arial" w:eastAsia="SimSun" w:hAnsi="Arial" w:cs="Arial"/>
          <w:sz w:val="18"/>
          <w:szCs w:val="18"/>
          <w:lang w:val="en-US"/>
        </w:rPr>
        <w:t>. 15, 04318 Leipzig, Germany</w:t>
      </w:r>
      <w:r w:rsidR="00732063">
        <w:rPr>
          <w:rFonts w:ascii="Arial" w:eastAsia="SimSun" w:hAnsi="Arial" w:cs="Arial"/>
          <w:sz w:val="18"/>
          <w:szCs w:val="18"/>
          <w:lang w:val="en-US"/>
        </w:rPr>
        <w:t>, shizong.wang@ufz.de</w:t>
      </w:r>
    </w:p>
    <w:p w:rsidR="00732063" w:rsidRPr="00732063" w:rsidRDefault="00277421" w:rsidP="00732063">
      <w:pPr>
        <w:rPr>
          <w:rFonts w:ascii="Arial" w:eastAsia="SimSun" w:hAnsi="Arial" w:cs="Arial"/>
          <w:sz w:val="18"/>
          <w:szCs w:val="18"/>
          <w:lang w:val="en-US"/>
        </w:rPr>
      </w:pPr>
      <w:r>
        <w:rPr>
          <w:rFonts w:ascii="Arial" w:eastAsia="SimSun" w:hAnsi="Arial" w:cs="Arial"/>
          <w:sz w:val="18"/>
          <w:szCs w:val="18"/>
          <w:vertAlign w:val="superscript"/>
          <w:lang w:val="en-US"/>
        </w:rPr>
        <w:t>3</w:t>
      </w:r>
      <w:r w:rsidR="00732063" w:rsidRPr="00732063">
        <w:rPr>
          <w:rFonts w:ascii="Arial" w:eastAsia="SimSun" w:hAnsi="Arial" w:cs="Arial"/>
          <w:sz w:val="18"/>
          <w:szCs w:val="18"/>
          <w:lang w:val="en-US"/>
        </w:rPr>
        <w:t xml:space="preserve"> School of Water Resources and Environment, China University of Geos</w:t>
      </w:r>
      <w:bookmarkStart w:id="0" w:name="_GoBack"/>
      <w:bookmarkEnd w:id="0"/>
      <w:r w:rsidR="00732063" w:rsidRPr="00732063">
        <w:rPr>
          <w:rFonts w:ascii="Arial" w:eastAsia="SimSun" w:hAnsi="Arial" w:cs="Arial"/>
          <w:sz w:val="18"/>
          <w:szCs w:val="18"/>
          <w:lang w:val="en-US"/>
        </w:rPr>
        <w:t xml:space="preserve">ciences, Beijing, Beijing 100083, P.R. China </w:t>
      </w:r>
    </w:p>
    <w:p w:rsidR="00732063" w:rsidRPr="00732063" w:rsidRDefault="00277421" w:rsidP="00732063">
      <w:pPr>
        <w:rPr>
          <w:rFonts w:ascii="Arial" w:eastAsia="SimSun" w:hAnsi="Arial" w:cs="Arial"/>
          <w:bCs/>
          <w:sz w:val="18"/>
          <w:szCs w:val="18"/>
          <w:lang w:val="en-US"/>
        </w:rPr>
      </w:pPr>
      <w:r>
        <w:rPr>
          <w:rFonts w:ascii="Arial" w:eastAsia="SimSun" w:hAnsi="Arial" w:cs="Arial"/>
          <w:bCs/>
          <w:sz w:val="18"/>
          <w:szCs w:val="18"/>
          <w:vertAlign w:val="superscript"/>
          <w:lang w:val="en-US"/>
        </w:rPr>
        <w:t>4</w:t>
      </w:r>
      <w:r w:rsidR="00732063" w:rsidRPr="00732063">
        <w:rPr>
          <w:rFonts w:ascii="Arial" w:hAnsi="Arial" w:cs="Arial"/>
          <w:sz w:val="18"/>
          <w:szCs w:val="18"/>
          <w:lang w:val="en-US"/>
        </w:rPr>
        <w:t xml:space="preserve"> </w:t>
      </w:r>
      <w:proofErr w:type="gramStart"/>
      <w:r w:rsidR="00732063" w:rsidRPr="00732063">
        <w:rPr>
          <w:rFonts w:ascii="Arial" w:eastAsia="SimSun" w:hAnsi="Arial" w:cs="Arial"/>
          <w:bCs/>
          <w:sz w:val="18"/>
          <w:szCs w:val="18"/>
          <w:lang w:val="en-US"/>
        </w:rPr>
        <w:t>Helmholtz-Centre</w:t>
      </w:r>
      <w:proofErr w:type="gramEnd"/>
      <w:r w:rsidR="00732063" w:rsidRPr="00732063">
        <w:rPr>
          <w:rFonts w:ascii="Arial" w:eastAsia="SimSun" w:hAnsi="Arial" w:cs="Arial"/>
          <w:bCs/>
          <w:sz w:val="18"/>
          <w:szCs w:val="18"/>
          <w:lang w:val="en-US"/>
        </w:rPr>
        <w:t xml:space="preserve"> for Environmental Research – UFZ, Department of Analytical Chemistry, </w:t>
      </w:r>
      <w:proofErr w:type="spellStart"/>
      <w:r w:rsidR="00732063" w:rsidRPr="00732063">
        <w:rPr>
          <w:rFonts w:ascii="Arial" w:eastAsia="SimSun" w:hAnsi="Arial" w:cs="Arial"/>
          <w:bCs/>
          <w:sz w:val="18"/>
          <w:szCs w:val="18"/>
          <w:lang w:val="en-US"/>
        </w:rPr>
        <w:t>Permoserstr</w:t>
      </w:r>
      <w:proofErr w:type="spellEnd"/>
      <w:r w:rsidR="00732063" w:rsidRPr="00732063">
        <w:rPr>
          <w:rFonts w:ascii="Arial" w:eastAsia="SimSun" w:hAnsi="Arial" w:cs="Arial"/>
          <w:bCs/>
          <w:sz w:val="18"/>
          <w:szCs w:val="18"/>
          <w:lang w:val="en-US"/>
        </w:rPr>
        <w:t>. 15, 04318 Leipzig, Germany</w:t>
      </w:r>
    </w:p>
    <w:p w:rsidR="008B1523" w:rsidRPr="00A01573" w:rsidRDefault="00C57AD3" w:rsidP="00A01573">
      <w:pPr>
        <w:spacing w:before="480"/>
        <w:jc w:val="both"/>
        <w:rPr>
          <w:rFonts w:ascii="Arial" w:hAnsi="Arial" w:cs="Arial"/>
          <w:sz w:val="20"/>
          <w:szCs w:val="20"/>
          <w:lang w:val="en-US"/>
        </w:rPr>
      </w:pPr>
      <w:r w:rsidRPr="00A01573">
        <w:rPr>
          <w:rFonts w:ascii="Arial" w:hAnsi="Arial" w:cs="Arial"/>
          <w:sz w:val="20"/>
          <w:szCs w:val="20"/>
          <w:lang w:val="en-US"/>
        </w:rPr>
        <w:t>P</w:t>
      </w:r>
      <w:r w:rsidRPr="00A01573">
        <w:rPr>
          <w:rFonts w:ascii="Arial" w:hAnsi="Arial" w:cs="Arial"/>
          <w:noProof/>
          <w:sz w:val="20"/>
          <w:szCs w:val="20"/>
          <w:lang w:val="en-US"/>
        </w:rPr>
        <w:t xml:space="preserve">esticides as </w:t>
      </w:r>
      <w:r w:rsidRPr="00A01573">
        <w:rPr>
          <w:rFonts w:ascii="Arial" w:hAnsi="Arial" w:cs="Arial"/>
          <w:sz w:val="20"/>
          <w:szCs w:val="20"/>
          <w:lang w:val="en-US"/>
        </w:rPr>
        <w:t xml:space="preserve">anthropogenic chemicals are of high interest; since they are deliberately applied in high amounts to soils to support food crop production. Chemicals entering this complex soil system may undergo various turnover processes. They can be degraded chemically, biologically by microorganisms, </w:t>
      </w:r>
      <w:proofErr w:type="spellStart"/>
      <w:r w:rsidRPr="00A01573">
        <w:rPr>
          <w:rFonts w:ascii="Arial" w:hAnsi="Arial" w:cs="Arial"/>
          <w:sz w:val="20"/>
          <w:szCs w:val="20"/>
          <w:lang w:val="en-US"/>
        </w:rPr>
        <w:t>immobilised</w:t>
      </w:r>
      <w:proofErr w:type="spellEnd"/>
      <w:r w:rsidRPr="00A01573">
        <w:rPr>
          <w:rFonts w:ascii="Arial" w:hAnsi="Arial" w:cs="Arial"/>
          <w:sz w:val="20"/>
          <w:szCs w:val="20"/>
          <w:lang w:val="en-US"/>
        </w:rPr>
        <w:t xml:space="preserve"> in form of non-extractable residues (NER), </w:t>
      </w:r>
      <w:proofErr w:type="spellStart"/>
      <w:r w:rsidRPr="00A01573">
        <w:rPr>
          <w:rFonts w:ascii="Arial" w:hAnsi="Arial" w:cs="Arial"/>
          <w:sz w:val="20"/>
          <w:szCs w:val="20"/>
          <w:lang w:val="en-US"/>
        </w:rPr>
        <w:t>volatilised</w:t>
      </w:r>
      <w:proofErr w:type="spellEnd"/>
      <w:r w:rsidRPr="00A01573">
        <w:rPr>
          <w:rFonts w:ascii="Arial" w:hAnsi="Arial" w:cs="Arial"/>
          <w:sz w:val="20"/>
          <w:szCs w:val="20"/>
          <w:lang w:val="en-US"/>
        </w:rPr>
        <w:t xml:space="preserve"> or taken up by living organisms. </w:t>
      </w:r>
      <w:r w:rsidR="008B1523" w:rsidRPr="00A01573">
        <w:rPr>
          <w:rFonts w:ascii="Arial" w:hAnsi="Arial" w:cs="Arial"/>
          <w:noProof/>
          <w:sz w:val="20"/>
          <w:szCs w:val="20"/>
          <w:lang w:val="en-US"/>
        </w:rPr>
        <w:t xml:space="preserve">Due to the difficulties in </w:t>
      </w:r>
      <w:r w:rsidR="008B1523" w:rsidRPr="00A01573">
        <w:rPr>
          <w:rFonts w:ascii="Arial" w:hAnsi="Arial" w:cs="Arial"/>
          <w:sz w:val="20"/>
          <w:szCs w:val="20"/>
          <w:lang w:val="en-US"/>
        </w:rPr>
        <w:t xml:space="preserve">NER </w:t>
      </w:r>
      <w:r w:rsidR="008B1523" w:rsidRPr="00A01573">
        <w:rPr>
          <w:rFonts w:ascii="Arial" w:hAnsi="Arial" w:cs="Arial"/>
          <w:noProof/>
          <w:sz w:val="20"/>
          <w:szCs w:val="20"/>
          <w:lang w:val="en-US"/>
        </w:rPr>
        <w:t>analytics</w:t>
      </w:r>
      <w:r w:rsidR="008B1523" w:rsidRPr="00A01573">
        <w:rPr>
          <w:rFonts w:ascii="Arial" w:hAnsi="Arial" w:cs="Arial"/>
          <w:sz w:val="20"/>
          <w:szCs w:val="20"/>
          <w:lang w:val="en-US"/>
        </w:rPr>
        <w:t xml:space="preserve"> in complex soil environments</w:t>
      </w:r>
      <w:r w:rsidR="008B1523" w:rsidRPr="00A01573">
        <w:rPr>
          <w:rFonts w:ascii="Arial" w:hAnsi="Arial" w:cs="Arial"/>
          <w:noProof/>
          <w:sz w:val="20"/>
          <w:szCs w:val="20"/>
          <w:lang w:val="en-US"/>
        </w:rPr>
        <w:t xml:space="preserve">, their determination is limited </w:t>
      </w:r>
      <w:r w:rsidR="00810CA1">
        <w:rPr>
          <w:rFonts w:ascii="Arial" w:hAnsi="Arial" w:cs="Arial"/>
          <w:sz w:val="20"/>
          <w:szCs w:val="20"/>
          <w:lang w:val="en-US"/>
        </w:rPr>
        <w:t>mainly to quantitative analyses</w:t>
      </w:r>
      <w:r w:rsidR="00C133F4">
        <w:rPr>
          <w:rFonts w:ascii="Arial" w:hAnsi="Arial" w:cs="Arial"/>
          <w:sz w:val="20"/>
          <w:szCs w:val="20"/>
          <w:lang w:val="en-US"/>
        </w:rPr>
        <w:t xml:space="preserve"> in </w:t>
      </w:r>
      <w:r w:rsidR="00C133F4" w:rsidRPr="00C857AF">
        <w:rPr>
          <w:rFonts w:ascii="Arial" w:hAnsi="Arial" w:cs="Arial"/>
          <w:sz w:val="20"/>
          <w:szCs w:val="20"/>
          <w:vertAlign w:val="superscript"/>
          <w:lang w:val="en-US"/>
        </w:rPr>
        <w:t>14</w:t>
      </w:r>
      <w:r w:rsidR="00C133F4">
        <w:rPr>
          <w:rFonts w:ascii="Arial" w:hAnsi="Arial" w:cs="Arial"/>
          <w:sz w:val="20"/>
          <w:szCs w:val="20"/>
          <w:lang w:val="en-US"/>
        </w:rPr>
        <w:t>C turnover studies</w:t>
      </w:r>
      <w:r w:rsidR="008B1523" w:rsidRPr="00A01573">
        <w:rPr>
          <w:rFonts w:ascii="Arial" w:hAnsi="Arial" w:cs="Arial"/>
          <w:noProof/>
          <w:sz w:val="20"/>
          <w:szCs w:val="20"/>
          <w:lang w:val="en-US"/>
        </w:rPr>
        <w:t xml:space="preserve">. This approach, however, does not provide any information about their </w:t>
      </w:r>
      <w:r w:rsidR="008B1523" w:rsidRPr="00A01573">
        <w:rPr>
          <w:rFonts w:ascii="Arial" w:hAnsi="Arial" w:cs="Arial"/>
          <w:sz w:val="20"/>
          <w:szCs w:val="20"/>
          <w:lang w:val="en-US"/>
        </w:rPr>
        <w:t xml:space="preserve">chemical composition. Therefore, it is speculated that these compounds of unknown structure </w:t>
      </w:r>
      <w:proofErr w:type="spellStart"/>
      <w:r w:rsidR="008B1523" w:rsidRPr="00A01573">
        <w:rPr>
          <w:rFonts w:ascii="Arial" w:hAnsi="Arial" w:cs="Arial"/>
          <w:sz w:val="20"/>
          <w:szCs w:val="20"/>
          <w:lang w:val="en-US"/>
        </w:rPr>
        <w:t>immobilised</w:t>
      </w:r>
      <w:proofErr w:type="spellEnd"/>
      <w:r w:rsidR="008B1523" w:rsidRPr="00A01573">
        <w:rPr>
          <w:rFonts w:ascii="Arial" w:hAnsi="Arial" w:cs="Arial"/>
          <w:sz w:val="20"/>
          <w:szCs w:val="20"/>
          <w:lang w:val="en-US"/>
        </w:rPr>
        <w:t xml:space="preserve"> as NER may be released from soil organic matter (SOM) and transported to all compartments of the environment posing a potential risk for the environmental and human health </w:t>
      </w:r>
      <w:r w:rsidR="00130766">
        <w:rPr>
          <w:rFonts w:ascii="Arial" w:hAnsi="Arial" w:cs="Arial"/>
          <w:noProof/>
          <w:sz w:val="20"/>
          <w:szCs w:val="20"/>
          <w:lang w:val="en-US"/>
        </w:rPr>
        <w:t>(</w:t>
      </w:r>
      <w:r w:rsidR="00130766" w:rsidRPr="001D214E">
        <w:rPr>
          <w:rFonts w:ascii="Arial" w:hAnsi="Arial" w:cs="Arial"/>
          <w:smallCaps/>
          <w:noProof/>
          <w:sz w:val="20"/>
          <w:szCs w:val="20"/>
          <w:lang w:val="en-US"/>
        </w:rPr>
        <w:t>Barriuso et al., 2008</w:t>
      </w:r>
      <w:r w:rsidR="00130766">
        <w:rPr>
          <w:rFonts w:ascii="Arial" w:hAnsi="Arial" w:cs="Arial"/>
          <w:noProof/>
          <w:sz w:val="20"/>
          <w:szCs w:val="20"/>
          <w:lang w:val="en-US"/>
        </w:rPr>
        <w:t>)</w:t>
      </w:r>
      <w:r w:rsidR="008B1523" w:rsidRPr="00A01573">
        <w:rPr>
          <w:rFonts w:ascii="Arial" w:hAnsi="Arial" w:cs="Arial"/>
          <w:sz w:val="20"/>
          <w:szCs w:val="20"/>
          <w:lang w:val="en-US"/>
        </w:rPr>
        <w:t xml:space="preserve">. </w:t>
      </w:r>
      <w:r w:rsidR="001F0A92">
        <w:rPr>
          <w:rFonts w:ascii="Arial" w:hAnsi="Arial" w:cs="Arial"/>
          <w:sz w:val="20"/>
          <w:szCs w:val="20"/>
          <w:lang w:val="en-US"/>
        </w:rPr>
        <w:t>However, i</w:t>
      </w:r>
      <w:r w:rsidR="008B1523" w:rsidRPr="00A01573">
        <w:rPr>
          <w:rFonts w:ascii="Arial" w:hAnsi="Arial" w:cs="Arial"/>
          <w:sz w:val="20"/>
          <w:szCs w:val="20"/>
          <w:lang w:val="en-US"/>
        </w:rPr>
        <w:t xml:space="preserve">t is generally known that microorganisms can use carbon from an organic contaminant to </w:t>
      </w:r>
      <w:proofErr w:type="spellStart"/>
      <w:r w:rsidR="008B1523" w:rsidRPr="00A01573">
        <w:rPr>
          <w:rFonts w:ascii="Arial" w:hAnsi="Arial" w:cs="Arial"/>
          <w:sz w:val="20"/>
          <w:szCs w:val="20"/>
          <w:lang w:val="en-US"/>
        </w:rPr>
        <w:t>synthesise</w:t>
      </w:r>
      <w:proofErr w:type="spellEnd"/>
      <w:r w:rsidR="008B1523" w:rsidRPr="00A01573">
        <w:rPr>
          <w:rFonts w:ascii="Arial" w:hAnsi="Arial" w:cs="Arial"/>
          <w:sz w:val="20"/>
          <w:szCs w:val="20"/>
          <w:lang w:val="en-US"/>
        </w:rPr>
        <w:t xml:space="preserve"> their biomass compounds, for instance fatty acids (FA) and amino acids (AA). After death, these biomass compounds can be incorporated into SOM forming ultimately hardly extractable biogenic residues</w:t>
      </w:r>
      <w:r w:rsidR="001D214E">
        <w:rPr>
          <w:rFonts w:ascii="Arial" w:hAnsi="Arial" w:cs="Arial"/>
          <w:sz w:val="20"/>
          <w:szCs w:val="20"/>
          <w:lang w:val="en-US"/>
        </w:rPr>
        <w:t xml:space="preserve"> </w:t>
      </w:r>
      <w:r w:rsidR="004435C3">
        <w:rPr>
          <w:rFonts w:ascii="Arial" w:hAnsi="Arial" w:cs="Arial"/>
          <w:sz w:val="20"/>
          <w:szCs w:val="20"/>
          <w:lang w:val="en-US"/>
        </w:rPr>
        <w:t>(</w:t>
      </w:r>
      <w:r w:rsidR="004435C3">
        <w:rPr>
          <w:rFonts w:ascii="Arial" w:hAnsi="Arial" w:cs="Arial"/>
          <w:smallCaps/>
          <w:noProof/>
          <w:sz w:val="20"/>
          <w:szCs w:val="20"/>
          <w:lang w:val="en-US"/>
        </w:rPr>
        <w:t>Nowak</w:t>
      </w:r>
      <w:r w:rsidR="004435C3" w:rsidRPr="001D214E">
        <w:rPr>
          <w:rFonts w:ascii="Arial" w:hAnsi="Arial" w:cs="Arial"/>
          <w:smallCaps/>
          <w:noProof/>
          <w:sz w:val="20"/>
          <w:szCs w:val="20"/>
          <w:lang w:val="en-US"/>
        </w:rPr>
        <w:t xml:space="preserve"> et al., 20</w:t>
      </w:r>
      <w:r w:rsidR="004435C3">
        <w:rPr>
          <w:rFonts w:ascii="Arial" w:hAnsi="Arial" w:cs="Arial"/>
          <w:smallCaps/>
          <w:noProof/>
          <w:sz w:val="20"/>
          <w:szCs w:val="20"/>
          <w:lang w:val="en-US"/>
        </w:rPr>
        <w:t>11</w:t>
      </w:r>
      <w:r w:rsidR="004435C3">
        <w:rPr>
          <w:rFonts w:ascii="Arial" w:hAnsi="Arial" w:cs="Arial"/>
          <w:sz w:val="20"/>
          <w:szCs w:val="20"/>
          <w:lang w:val="en-US"/>
        </w:rPr>
        <w:t>)</w:t>
      </w:r>
      <w:r w:rsidR="008B1523" w:rsidRPr="00A01573">
        <w:rPr>
          <w:rFonts w:ascii="Arial" w:hAnsi="Arial" w:cs="Arial"/>
          <w:sz w:val="20"/>
          <w:szCs w:val="20"/>
          <w:lang w:val="en-US"/>
        </w:rPr>
        <w:t xml:space="preserve">. </w:t>
      </w:r>
      <w:r w:rsidR="00113FA5" w:rsidRPr="00C03E24">
        <w:rPr>
          <w:rFonts w:ascii="Arial" w:hAnsi="Arial" w:cs="Arial"/>
          <w:sz w:val="20"/>
          <w:szCs w:val="20"/>
          <w:lang w:val="en-GB"/>
        </w:rPr>
        <w:t xml:space="preserve">As the </w:t>
      </w:r>
      <w:r w:rsidR="00113FA5" w:rsidRPr="00A01573">
        <w:rPr>
          <w:rFonts w:ascii="Arial" w:hAnsi="Arial" w:cs="Arial"/>
          <w:sz w:val="20"/>
          <w:szCs w:val="20"/>
          <w:lang w:val="en-US"/>
        </w:rPr>
        <w:t>biogenic residues</w:t>
      </w:r>
      <w:r w:rsidR="00113FA5" w:rsidRPr="00C03E24">
        <w:rPr>
          <w:rFonts w:ascii="Arial" w:hAnsi="Arial" w:cs="Arial"/>
          <w:sz w:val="20"/>
          <w:szCs w:val="20"/>
          <w:lang w:val="en-GB"/>
        </w:rPr>
        <w:t xml:space="preserve"> are composed of non-toxic natural compounds, </w:t>
      </w:r>
      <w:r w:rsidR="00113FA5">
        <w:rPr>
          <w:rFonts w:ascii="Arial" w:hAnsi="Arial" w:cs="Arial"/>
          <w:sz w:val="20"/>
          <w:szCs w:val="20"/>
          <w:lang w:val="en-GB"/>
        </w:rPr>
        <w:t xml:space="preserve">they </w:t>
      </w:r>
      <w:r w:rsidR="00113FA5" w:rsidRPr="00C03E24">
        <w:rPr>
          <w:rFonts w:ascii="Arial" w:hAnsi="Arial" w:cs="Arial"/>
          <w:sz w:val="20"/>
          <w:szCs w:val="20"/>
          <w:lang w:val="en-GB"/>
        </w:rPr>
        <w:t xml:space="preserve">do not pose any risk </w:t>
      </w:r>
      <w:r w:rsidR="00113FA5">
        <w:rPr>
          <w:rFonts w:ascii="Arial" w:hAnsi="Arial" w:cs="Arial"/>
          <w:sz w:val="20"/>
          <w:szCs w:val="20"/>
          <w:lang w:val="en-GB"/>
        </w:rPr>
        <w:t>to</w:t>
      </w:r>
      <w:r w:rsidR="00113FA5" w:rsidRPr="00C03E24">
        <w:rPr>
          <w:rFonts w:ascii="Arial" w:hAnsi="Arial" w:cs="Arial"/>
          <w:sz w:val="20"/>
          <w:szCs w:val="20"/>
          <w:lang w:val="en-GB"/>
        </w:rPr>
        <w:t xml:space="preserve"> human and environment.</w:t>
      </w:r>
    </w:p>
    <w:p w:rsidR="00A01573" w:rsidRPr="00AB7809" w:rsidRDefault="00C57AD3" w:rsidP="00A01573">
      <w:pPr>
        <w:jc w:val="both"/>
        <w:rPr>
          <w:rFonts w:ascii="Arial" w:hAnsi="Arial" w:cs="Arial"/>
          <w:sz w:val="20"/>
          <w:szCs w:val="20"/>
          <w:lang w:val="en-US"/>
        </w:rPr>
      </w:pPr>
      <w:r w:rsidRPr="00A01573">
        <w:rPr>
          <w:rFonts w:ascii="Arial" w:hAnsi="Arial" w:cs="Arial"/>
          <w:noProof/>
          <w:sz w:val="20"/>
          <w:szCs w:val="20"/>
          <w:lang w:val="en-GB"/>
        </w:rPr>
        <w:t xml:space="preserve">Therefore, the relevance of </w:t>
      </w:r>
      <w:r w:rsidRPr="00A01573">
        <w:rPr>
          <w:rFonts w:ascii="Arial" w:hAnsi="Arial" w:cs="Arial"/>
          <w:sz w:val="20"/>
          <w:szCs w:val="20"/>
          <w:lang w:val="en-GB"/>
        </w:rPr>
        <w:t>biogenic residue formation from</w:t>
      </w:r>
      <w:r w:rsidRPr="00A01573">
        <w:rPr>
          <w:rFonts w:ascii="Arial" w:hAnsi="Arial" w:cs="Arial"/>
          <w:color w:val="000000"/>
          <w:sz w:val="20"/>
          <w:szCs w:val="20"/>
          <w:lang w:val="en-GB"/>
        </w:rPr>
        <w:t xml:space="preserve"> microbial degradation of </w:t>
      </w:r>
      <w:r w:rsidRPr="00A01573">
        <w:rPr>
          <w:rFonts w:ascii="Arial" w:hAnsi="Arial" w:cs="Arial"/>
          <w:sz w:val="20"/>
          <w:szCs w:val="20"/>
          <w:lang w:val="en-GB"/>
        </w:rPr>
        <w:t>structurally diverse</w:t>
      </w:r>
      <w:r w:rsidRPr="00A01573">
        <w:rPr>
          <w:rFonts w:ascii="Arial" w:hAnsi="Arial" w:cs="Arial"/>
          <w:color w:val="000000"/>
          <w:sz w:val="20"/>
          <w:szCs w:val="20"/>
          <w:lang w:val="en-GB"/>
        </w:rPr>
        <w:t xml:space="preserve"> groups of pesticides</w:t>
      </w:r>
      <w:r w:rsidRPr="00A01573">
        <w:rPr>
          <w:rFonts w:ascii="Arial" w:hAnsi="Arial" w:cs="Arial"/>
          <w:noProof/>
          <w:sz w:val="20"/>
          <w:szCs w:val="20"/>
          <w:lang w:val="en-GB"/>
        </w:rPr>
        <w:t xml:space="preserve"> showing different degradation kinetics</w:t>
      </w:r>
      <w:r w:rsidRPr="00A01573">
        <w:rPr>
          <w:rFonts w:ascii="Arial" w:hAnsi="Arial" w:cs="Arial"/>
          <w:color w:val="000000"/>
          <w:sz w:val="20"/>
          <w:szCs w:val="20"/>
          <w:lang w:val="en-GB"/>
        </w:rPr>
        <w:t>:</w:t>
      </w:r>
      <w:r w:rsidRPr="00A01573">
        <w:rPr>
          <w:rFonts w:ascii="Arial" w:hAnsi="Arial" w:cs="Arial"/>
          <w:bCs/>
          <w:color w:val="000000"/>
          <w:sz w:val="20"/>
          <w:szCs w:val="20"/>
          <w:lang w:val="en-GB"/>
        </w:rPr>
        <w:t xml:space="preserve"> </w:t>
      </w:r>
      <w:r w:rsidRPr="00A01573">
        <w:rPr>
          <w:rFonts w:ascii="Arial" w:hAnsi="Arial" w:cs="Arial"/>
          <w:noProof/>
          <w:sz w:val="20"/>
          <w:szCs w:val="20"/>
          <w:lang w:val="en-GB"/>
        </w:rPr>
        <w:t>2,4-D (phenoxyacetic acid),</w:t>
      </w:r>
      <w:r w:rsidRPr="00A01573">
        <w:rPr>
          <w:rFonts w:ascii="Arial" w:hAnsi="Arial" w:cs="Arial"/>
          <w:bCs/>
          <w:color w:val="000000"/>
          <w:sz w:val="20"/>
          <w:szCs w:val="20"/>
          <w:lang w:val="en-GB"/>
        </w:rPr>
        <w:t xml:space="preserve"> glyphosate (</w:t>
      </w:r>
      <w:bookmarkStart w:id="1" w:name="OLE_LINK3"/>
      <w:bookmarkStart w:id="2" w:name="OLE_LINK4"/>
      <w:r w:rsidRPr="00A01573">
        <w:rPr>
          <w:rFonts w:ascii="Arial" w:hAnsi="Arial" w:cs="Arial"/>
          <w:bCs/>
          <w:color w:val="000000"/>
          <w:sz w:val="20"/>
          <w:szCs w:val="20"/>
          <w:lang w:val="en-GB"/>
        </w:rPr>
        <w:t>organophosphate</w:t>
      </w:r>
      <w:bookmarkEnd w:id="1"/>
      <w:bookmarkEnd w:id="2"/>
      <w:r w:rsidRPr="00A01573">
        <w:rPr>
          <w:rFonts w:ascii="Arial" w:hAnsi="Arial" w:cs="Arial"/>
          <w:bCs/>
          <w:color w:val="000000"/>
          <w:sz w:val="20"/>
          <w:szCs w:val="20"/>
          <w:lang w:val="en-GB"/>
        </w:rPr>
        <w:t xml:space="preserve">), </w:t>
      </w:r>
      <w:proofErr w:type="spellStart"/>
      <w:r w:rsidR="001E7FE6" w:rsidRPr="00A01573">
        <w:rPr>
          <w:rFonts w:ascii="Arial" w:hAnsi="Arial" w:cs="Arial"/>
          <w:bCs/>
          <w:color w:val="000000"/>
          <w:sz w:val="20"/>
          <w:szCs w:val="20"/>
          <w:lang w:val="en-GB"/>
        </w:rPr>
        <w:t>metamitron</w:t>
      </w:r>
      <w:proofErr w:type="spellEnd"/>
      <w:r w:rsidR="001E7FE6" w:rsidRPr="00A01573">
        <w:rPr>
          <w:rFonts w:ascii="Arial" w:hAnsi="Arial" w:cs="Arial"/>
          <w:bCs/>
          <w:color w:val="000000"/>
          <w:sz w:val="20"/>
          <w:szCs w:val="20"/>
          <w:lang w:val="en-GB"/>
        </w:rPr>
        <w:t xml:space="preserve"> (</w:t>
      </w:r>
      <w:proofErr w:type="spellStart"/>
      <w:r w:rsidR="001E7FE6" w:rsidRPr="00A01573">
        <w:rPr>
          <w:rFonts w:ascii="Arial" w:hAnsi="Arial" w:cs="Arial"/>
          <w:bCs/>
          <w:color w:val="000000"/>
          <w:sz w:val="20"/>
          <w:szCs w:val="20"/>
          <w:lang w:val="en-GB"/>
        </w:rPr>
        <w:t>triazinone</w:t>
      </w:r>
      <w:proofErr w:type="spellEnd"/>
      <w:r w:rsidR="001E7FE6" w:rsidRPr="00A01573">
        <w:rPr>
          <w:rFonts w:ascii="Arial" w:hAnsi="Arial" w:cs="Arial"/>
          <w:bCs/>
          <w:color w:val="000000"/>
          <w:sz w:val="20"/>
          <w:szCs w:val="20"/>
          <w:lang w:val="en-GB"/>
        </w:rPr>
        <w:t>)</w:t>
      </w:r>
      <w:r w:rsidRPr="00A01573">
        <w:rPr>
          <w:rFonts w:ascii="Arial" w:hAnsi="Arial" w:cs="Arial"/>
          <w:bCs/>
          <w:color w:val="000000"/>
          <w:sz w:val="20"/>
          <w:szCs w:val="20"/>
          <w:lang w:val="en-GB"/>
        </w:rPr>
        <w:t xml:space="preserve"> and </w:t>
      </w:r>
      <w:proofErr w:type="spellStart"/>
      <w:r w:rsidRPr="00A01573">
        <w:rPr>
          <w:rFonts w:ascii="Arial" w:hAnsi="Arial" w:cs="Arial"/>
          <w:bCs/>
          <w:color w:val="000000"/>
          <w:sz w:val="20"/>
          <w:szCs w:val="20"/>
          <w:lang w:val="en-GB"/>
        </w:rPr>
        <w:t>bentazone</w:t>
      </w:r>
      <w:proofErr w:type="spellEnd"/>
      <w:r w:rsidRPr="00A01573">
        <w:rPr>
          <w:rFonts w:ascii="Arial" w:hAnsi="Arial" w:cs="Arial"/>
          <w:bCs/>
          <w:color w:val="000000"/>
          <w:sz w:val="20"/>
          <w:szCs w:val="20"/>
          <w:lang w:val="en-GB"/>
        </w:rPr>
        <w:t xml:space="preserve"> (</w:t>
      </w:r>
      <w:proofErr w:type="spellStart"/>
      <w:r w:rsidRPr="00A01573">
        <w:rPr>
          <w:rFonts w:ascii="Arial" w:hAnsi="Arial" w:cs="Arial"/>
          <w:sz w:val="20"/>
          <w:szCs w:val="20"/>
          <w:lang w:val="en-US"/>
        </w:rPr>
        <w:t>benzothiadiazine</w:t>
      </w:r>
      <w:proofErr w:type="spellEnd"/>
      <w:r w:rsidRPr="00A01573">
        <w:rPr>
          <w:rFonts w:ascii="Arial" w:hAnsi="Arial" w:cs="Arial"/>
          <w:sz w:val="20"/>
          <w:szCs w:val="20"/>
          <w:lang w:val="en-US"/>
        </w:rPr>
        <w:t>)</w:t>
      </w:r>
      <w:r w:rsidRPr="00A01573">
        <w:rPr>
          <w:rFonts w:ascii="Arial" w:hAnsi="Arial" w:cs="Arial"/>
          <w:bCs/>
          <w:color w:val="000000"/>
          <w:sz w:val="20"/>
          <w:szCs w:val="20"/>
          <w:lang w:val="en-GB"/>
        </w:rPr>
        <w:t xml:space="preserve"> </w:t>
      </w:r>
      <w:r w:rsidRPr="00A01573">
        <w:rPr>
          <w:rFonts w:ascii="Arial" w:hAnsi="Arial" w:cs="Arial"/>
          <w:sz w:val="20"/>
          <w:szCs w:val="20"/>
          <w:lang w:val="en-GB"/>
        </w:rPr>
        <w:t>was investigated at different time scales</w:t>
      </w:r>
      <w:r w:rsidR="00C857AF">
        <w:rPr>
          <w:rFonts w:ascii="Arial" w:hAnsi="Arial" w:cs="Arial"/>
          <w:sz w:val="20"/>
          <w:szCs w:val="20"/>
          <w:lang w:val="en-GB"/>
        </w:rPr>
        <w:t xml:space="preserve"> (80 days</w:t>
      </w:r>
      <w:r w:rsidR="00110551">
        <w:rPr>
          <w:rFonts w:ascii="Arial" w:hAnsi="Arial" w:cs="Arial"/>
          <w:sz w:val="20"/>
          <w:szCs w:val="20"/>
          <w:lang w:val="en-GB"/>
        </w:rPr>
        <w:t>:</w:t>
      </w:r>
      <w:r w:rsidR="00C857AF">
        <w:rPr>
          <w:rFonts w:ascii="Arial" w:hAnsi="Arial" w:cs="Arial"/>
          <w:sz w:val="20"/>
          <w:szCs w:val="20"/>
          <w:lang w:val="en-GB"/>
        </w:rPr>
        <w:t xml:space="preserve"> glyphosate and </w:t>
      </w:r>
      <w:proofErr w:type="spellStart"/>
      <w:r w:rsidR="00C857AF">
        <w:rPr>
          <w:rFonts w:ascii="Arial" w:hAnsi="Arial" w:cs="Arial"/>
          <w:sz w:val="20"/>
          <w:szCs w:val="20"/>
          <w:lang w:val="en-GB"/>
        </w:rPr>
        <w:t>metamitron</w:t>
      </w:r>
      <w:proofErr w:type="spellEnd"/>
      <w:r w:rsidR="00C857AF">
        <w:rPr>
          <w:rFonts w:ascii="Arial" w:hAnsi="Arial" w:cs="Arial"/>
          <w:sz w:val="20"/>
          <w:szCs w:val="20"/>
          <w:lang w:val="en-GB"/>
        </w:rPr>
        <w:t>, 64 days</w:t>
      </w:r>
      <w:r w:rsidR="00110551">
        <w:rPr>
          <w:rFonts w:ascii="Arial" w:hAnsi="Arial" w:cs="Arial"/>
          <w:sz w:val="20"/>
          <w:szCs w:val="20"/>
          <w:lang w:val="en-GB"/>
        </w:rPr>
        <w:t>:</w:t>
      </w:r>
      <w:r w:rsidR="00C857AF">
        <w:rPr>
          <w:rFonts w:ascii="Arial" w:hAnsi="Arial" w:cs="Arial"/>
          <w:sz w:val="20"/>
          <w:szCs w:val="20"/>
          <w:lang w:val="en-GB"/>
        </w:rPr>
        <w:t xml:space="preserve"> 2</w:t>
      </w:r>
      <w:proofErr w:type="gramStart"/>
      <w:r w:rsidR="00C857AF">
        <w:rPr>
          <w:rFonts w:ascii="Arial" w:hAnsi="Arial" w:cs="Arial"/>
          <w:sz w:val="20"/>
          <w:szCs w:val="20"/>
          <w:lang w:val="en-GB"/>
        </w:rPr>
        <w:t>,4</w:t>
      </w:r>
      <w:proofErr w:type="gramEnd"/>
      <w:r w:rsidR="00D67A1E">
        <w:rPr>
          <w:rFonts w:ascii="Arial" w:hAnsi="Arial" w:cs="Arial"/>
          <w:sz w:val="20"/>
          <w:szCs w:val="20"/>
          <w:lang w:val="en-GB"/>
        </w:rPr>
        <w:t>-</w:t>
      </w:r>
      <w:r w:rsidR="00C857AF">
        <w:rPr>
          <w:rFonts w:ascii="Arial" w:hAnsi="Arial" w:cs="Arial"/>
          <w:sz w:val="20"/>
          <w:szCs w:val="20"/>
          <w:lang w:val="en-GB"/>
        </w:rPr>
        <w:t xml:space="preserve">D </w:t>
      </w:r>
      <w:r w:rsidR="00E15508">
        <w:rPr>
          <w:rFonts w:ascii="Arial" w:hAnsi="Arial" w:cs="Arial"/>
          <w:sz w:val="20"/>
          <w:szCs w:val="20"/>
          <w:lang w:val="en-GB"/>
        </w:rPr>
        <w:t xml:space="preserve">and 1 year </w:t>
      </w:r>
      <w:proofErr w:type="spellStart"/>
      <w:r w:rsidR="00E15508">
        <w:rPr>
          <w:rFonts w:ascii="Arial" w:hAnsi="Arial" w:cs="Arial"/>
          <w:sz w:val="20"/>
          <w:szCs w:val="20"/>
          <w:lang w:val="en-GB"/>
        </w:rPr>
        <w:t>bentazone</w:t>
      </w:r>
      <w:proofErr w:type="spellEnd"/>
      <w:r w:rsidR="00E15508">
        <w:rPr>
          <w:rFonts w:ascii="Arial" w:hAnsi="Arial" w:cs="Arial"/>
          <w:sz w:val="20"/>
          <w:szCs w:val="20"/>
          <w:lang w:val="en-GB"/>
        </w:rPr>
        <w:t>)</w:t>
      </w:r>
      <w:r w:rsidRPr="00A01573">
        <w:rPr>
          <w:rFonts w:ascii="Arial" w:hAnsi="Arial" w:cs="Arial"/>
          <w:sz w:val="20"/>
          <w:szCs w:val="20"/>
          <w:lang w:val="en-GB"/>
        </w:rPr>
        <w:t>.</w:t>
      </w:r>
      <w:r w:rsidR="000F7BA8" w:rsidRPr="00A01573">
        <w:rPr>
          <w:rFonts w:ascii="Arial" w:hAnsi="Arial" w:cs="Arial"/>
          <w:sz w:val="20"/>
          <w:szCs w:val="20"/>
          <w:lang w:val="en-GB"/>
        </w:rPr>
        <w:t xml:space="preserve"> </w:t>
      </w:r>
      <w:r w:rsidR="00C40C27">
        <w:rPr>
          <w:rFonts w:ascii="Arial" w:hAnsi="Arial" w:cs="Arial"/>
          <w:sz w:val="20"/>
          <w:szCs w:val="20"/>
          <w:lang w:val="en-GB"/>
        </w:rPr>
        <w:t>C</w:t>
      </w:r>
      <w:r w:rsidR="000F7BA8" w:rsidRPr="00A01573">
        <w:rPr>
          <w:rFonts w:ascii="Arial" w:hAnsi="Arial" w:cs="Arial"/>
          <w:sz w:val="20"/>
          <w:szCs w:val="20"/>
          <w:lang w:val="en-GB"/>
        </w:rPr>
        <w:t xml:space="preserve">ompound-specific isotope analysis </w:t>
      </w:r>
      <w:r w:rsidR="005E1E7E">
        <w:rPr>
          <w:rFonts w:ascii="Arial" w:hAnsi="Arial" w:cs="Arial"/>
          <w:sz w:val="20"/>
          <w:szCs w:val="20"/>
          <w:lang w:val="en-GB"/>
        </w:rPr>
        <w:t>(</w:t>
      </w:r>
      <w:r w:rsidR="005E1E7E" w:rsidRPr="005E1E7E">
        <w:rPr>
          <w:rFonts w:ascii="Arial" w:hAnsi="Arial" w:cs="Arial"/>
          <w:sz w:val="20"/>
          <w:szCs w:val="20"/>
          <w:vertAlign w:val="superscript"/>
          <w:lang w:val="en-GB"/>
        </w:rPr>
        <w:t>13</w:t>
      </w:r>
      <w:r w:rsidR="005E1E7E">
        <w:rPr>
          <w:rFonts w:ascii="Arial" w:hAnsi="Arial" w:cs="Arial"/>
          <w:sz w:val="20"/>
          <w:szCs w:val="20"/>
          <w:lang w:val="en-GB"/>
        </w:rPr>
        <w:t xml:space="preserve">C and </w:t>
      </w:r>
      <w:r w:rsidR="005E1E7E" w:rsidRPr="005E1E7E">
        <w:rPr>
          <w:rFonts w:ascii="Arial" w:hAnsi="Arial" w:cs="Arial"/>
          <w:sz w:val="20"/>
          <w:szCs w:val="20"/>
          <w:vertAlign w:val="superscript"/>
          <w:lang w:val="en-GB"/>
        </w:rPr>
        <w:t>15</w:t>
      </w:r>
      <w:r w:rsidR="005E1E7E">
        <w:rPr>
          <w:rFonts w:ascii="Arial" w:hAnsi="Arial" w:cs="Arial"/>
          <w:sz w:val="20"/>
          <w:szCs w:val="20"/>
          <w:lang w:val="en-GB"/>
        </w:rPr>
        <w:t xml:space="preserve">N-label) </w:t>
      </w:r>
      <w:r w:rsidR="000F7BA8" w:rsidRPr="00A01573">
        <w:rPr>
          <w:rFonts w:ascii="Arial" w:hAnsi="Arial" w:cs="Arial"/>
          <w:sz w:val="20"/>
          <w:szCs w:val="20"/>
          <w:lang w:val="en-GB"/>
        </w:rPr>
        <w:t xml:space="preserve">of fatty acids (FA) and amino acids (AA) extracted from the living and non-living SOM was used to quantify </w:t>
      </w:r>
      <w:r w:rsidR="000F7BA8" w:rsidRPr="001D214E">
        <w:rPr>
          <w:rFonts w:ascii="Arial" w:hAnsi="Arial" w:cs="Arial"/>
          <w:sz w:val="20"/>
          <w:szCs w:val="20"/>
          <w:lang w:val="en-GB"/>
        </w:rPr>
        <w:t xml:space="preserve">biogenic residue formation. </w:t>
      </w:r>
      <w:r w:rsidR="000F7BA8" w:rsidRPr="001D214E">
        <w:rPr>
          <w:rFonts w:ascii="Arial" w:hAnsi="Arial" w:cs="Arial"/>
          <w:bCs/>
          <w:color w:val="000000"/>
          <w:sz w:val="20"/>
          <w:szCs w:val="20"/>
          <w:lang w:val="en-GB"/>
        </w:rPr>
        <w:t>The extent was balanced and compared</w:t>
      </w:r>
      <w:r w:rsidR="000F7BA8" w:rsidRPr="001D214E">
        <w:rPr>
          <w:rFonts w:ascii="Arial" w:hAnsi="Arial" w:cs="Arial"/>
          <w:noProof/>
          <w:sz w:val="20"/>
          <w:szCs w:val="20"/>
          <w:lang w:val="en-GB"/>
        </w:rPr>
        <w:t xml:space="preserve"> with the hazardous </w:t>
      </w:r>
      <w:r w:rsidR="00C40C27">
        <w:rPr>
          <w:rFonts w:ascii="Arial" w:hAnsi="Arial" w:cs="Arial"/>
          <w:noProof/>
          <w:sz w:val="20"/>
          <w:szCs w:val="20"/>
          <w:lang w:val="en-GB"/>
        </w:rPr>
        <w:t>xeno</w:t>
      </w:r>
      <w:r w:rsidR="000F7BA8" w:rsidRPr="001D214E">
        <w:rPr>
          <w:rFonts w:ascii="Arial" w:hAnsi="Arial" w:cs="Arial"/>
          <w:noProof/>
          <w:sz w:val="20"/>
          <w:szCs w:val="20"/>
          <w:lang w:val="en-GB"/>
        </w:rPr>
        <w:t>NER amounts</w:t>
      </w:r>
      <w:r w:rsidR="00C40C27">
        <w:rPr>
          <w:rFonts w:ascii="Arial" w:hAnsi="Arial" w:cs="Arial"/>
          <w:noProof/>
          <w:sz w:val="20"/>
          <w:szCs w:val="20"/>
          <w:lang w:val="en-GB"/>
        </w:rPr>
        <w:t>, derived from parent compounds or metabolites</w:t>
      </w:r>
      <w:r w:rsidR="000F7BA8" w:rsidRPr="001D214E">
        <w:rPr>
          <w:rFonts w:ascii="Arial" w:hAnsi="Arial" w:cs="Arial"/>
          <w:bCs/>
          <w:color w:val="000000"/>
          <w:sz w:val="20"/>
          <w:szCs w:val="20"/>
          <w:lang w:val="en-GB"/>
        </w:rPr>
        <w:t xml:space="preserve">. </w:t>
      </w:r>
      <w:r w:rsidR="00363DB9" w:rsidRPr="001D214E">
        <w:rPr>
          <w:rFonts w:ascii="Arial" w:hAnsi="Arial" w:cs="Arial"/>
          <w:sz w:val="20"/>
          <w:szCs w:val="20"/>
          <w:vertAlign w:val="superscript"/>
          <w:lang w:val="en-US"/>
        </w:rPr>
        <w:t>13</w:t>
      </w:r>
      <w:r w:rsidR="00363DB9" w:rsidRPr="001D214E">
        <w:rPr>
          <w:rFonts w:ascii="Arial" w:hAnsi="Arial" w:cs="Arial"/>
          <w:sz w:val="20"/>
          <w:szCs w:val="20"/>
          <w:lang w:val="en-US"/>
        </w:rPr>
        <w:t xml:space="preserve">C-FA and </w:t>
      </w:r>
      <w:r w:rsidR="00363DB9" w:rsidRPr="001D214E">
        <w:rPr>
          <w:rFonts w:ascii="Arial" w:hAnsi="Arial" w:cs="Arial"/>
          <w:sz w:val="20"/>
          <w:szCs w:val="20"/>
          <w:vertAlign w:val="superscript"/>
          <w:lang w:val="en-US"/>
        </w:rPr>
        <w:t>13</w:t>
      </w:r>
      <w:r w:rsidR="00363DB9" w:rsidRPr="001D214E">
        <w:rPr>
          <w:rFonts w:ascii="Arial" w:hAnsi="Arial" w:cs="Arial"/>
          <w:sz w:val="20"/>
          <w:szCs w:val="20"/>
          <w:lang w:val="en-US"/>
        </w:rPr>
        <w:t xml:space="preserve">C-AA in the living microbial biomass fraction initially increased, thereafter their contents decreased and a continuous incorporation of these biomolecules into the non-living SOM was observed. </w:t>
      </w:r>
      <w:r w:rsidR="001D214E" w:rsidRPr="001D214E">
        <w:rPr>
          <w:rFonts w:ascii="Arial" w:hAnsi="Arial" w:cs="Arial"/>
          <w:sz w:val="20"/>
          <w:szCs w:val="20"/>
          <w:lang w:val="en-US"/>
        </w:rPr>
        <w:t>Three pesticides 2,4-D, glyphosate and</w:t>
      </w:r>
      <w:r w:rsidR="001D214E" w:rsidRPr="001D214E">
        <w:rPr>
          <w:rFonts w:ascii="Arial" w:hAnsi="Arial" w:cs="Arial"/>
          <w:sz w:val="20"/>
          <w:szCs w:val="20"/>
          <w:vertAlign w:val="superscript"/>
          <w:lang w:val="en-US"/>
        </w:rPr>
        <w:t xml:space="preserve"> </w:t>
      </w:r>
      <w:proofErr w:type="spellStart"/>
      <w:r w:rsidR="001D214E" w:rsidRPr="001D214E">
        <w:rPr>
          <w:rFonts w:ascii="Arial" w:hAnsi="Arial" w:cs="Arial"/>
          <w:sz w:val="20"/>
          <w:szCs w:val="20"/>
          <w:lang w:val="en-US"/>
        </w:rPr>
        <w:t>metamitron</w:t>
      </w:r>
      <w:proofErr w:type="spellEnd"/>
      <w:r w:rsidR="001D214E" w:rsidRPr="001D214E">
        <w:rPr>
          <w:rFonts w:ascii="Arial" w:hAnsi="Arial" w:cs="Arial"/>
          <w:sz w:val="20"/>
          <w:szCs w:val="20"/>
          <w:lang w:val="en-US"/>
        </w:rPr>
        <w:t xml:space="preserve"> were mineralized rapidly and at the end </w:t>
      </w:r>
      <w:r w:rsidR="00666C07">
        <w:rPr>
          <w:rFonts w:ascii="Arial" w:hAnsi="Arial" w:cs="Arial"/>
          <w:sz w:val="20"/>
          <w:szCs w:val="20"/>
          <w:lang w:val="en-US"/>
        </w:rPr>
        <w:t>labelled CO</w:t>
      </w:r>
      <w:r w:rsidR="00666C07" w:rsidRPr="00E15508">
        <w:rPr>
          <w:rFonts w:ascii="Arial" w:hAnsi="Arial" w:cs="Arial"/>
          <w:sz w:val="20"/>
          <w:szCs w:val="20"/>
          <w:vertAlign w:val="subscript"/>
          <w:lang w:val="en-US"/>
        </w:rPr>
        <w:t>2</w:t>
      </w:r>
      <w:r w:rsidR="00666C07">
        <w:rPr>
          <w:rFonts w:ascii="Arial" w:hAnsi="Arial" w:cs="Arial"/>
          <w:sz w:val="20"/>
          <w:szCs w:val="20"/>
          <w:lang w:val="en-US"/>
        </w:rPr>
        <w:t xml:space="preserve"> </w:t>
      </w:r>
      <w:r w:rsidR="001D214E" w:rsidRPr="001D214E">
        <w:rPr>
          <w:rFonts w:ascii="Arial" w:hAnsi="Arial" w:cs="Arial"/>
          <w:sz w:val="20"/>
          <w:szCs w:val="20"/>
          <w:lang w:val="en-US"/>
        </w:rPr>
        <w:t xml:space="preserve">constituted about 58% of </w:t>
      </w:r>
      <w:r w:rsidR="001D214E" w:rsidRPr="001D214E">
        <w:rPr>
          <w:rFonts w:ascii="Arial" w:hAnsi="Arial" w:cs="Arial"/>
          <w:sz w:val="20"/>
          <w:szCs w:val="20"/>
          <w:vertAlign w:val="superscript"/>
          <w:lang w:val="en-US"/>
        </w:rPr>
        <w:t>13</w:t>
      </w:r>
      <w:r w:rsidR="001D214E" w:rsidRPr="001D214E">
        <w:rPr>
          <w:rFonts w:ascii="Arial" w:hAnsi="Arial" w:cs="Arial"/>
          <w:sz w:val="20"/>
          <w:szCs w:val="20"/>
          <w:lang w:val="en-US"/>
        </w:rPr>
        <w:t>C</w:t>
      </w:r>
      <w:r w:rsidR="001D214E" w:rsidRPr="001D214E">
        <w:rPr>
          <w:rFonts w:ascii="Arial" w:hAnsi="Arial" w:cs="Arial"/>
          <w:sz w:val="20"/>
          <w:szCs w:val="20"/>
          <w:vertAlign w:val="subscript"/>
          <w:lang w:val="en-US"/>
        </w:rPr>
        <w:t>6</w:t>
      </w:r>
      <w:r w:rsidR="001D214E" w:rsidRPr="001D214E">
        <w:rPr>
          <w:rFonts w:ascii="Arial" w:hAnsi="Arial" w:cs="Arial"/>
          <w:sz w:val="20"/>
          <w:szCs w:val="20"/>
          <w:lang w:val="en-US"/>
        </w:rPr>
        <w:t xml:space="preserve">-2,4-D, 73% of </w:t>
      </w:r>
      <w:r w:rsidR="001D214E" w:rsidRPr="001D214E">
        <w:rPr>
          <w:rFonts w:ascii="Arial" w:hAnsi="Arial" w:cs="Arial"/>
          <w:sz w:val="20"/>
          <w:szCs w:val="20"/>
          <w:vertAlign w:val="superscript"/>
          <w:lang w:val="en-US"/>
        </w:rPr>
        <w:t>13</w:t>
      </w:r>
      <w:r w:rsidR="001D214E" w:rsidRPr="001D214E">
        <w:rPr>
          <w:rFonts w:ascii="Arial" w:hAnsi="Arial" w:cs="Arial"/>
          <w:sz w:val="20"/>
          <w:szCs w:val="20"/>
          <w:lang w:val="en-US"/>
        </w:rPr>
        <w:t>C</w:t>
      </w:r>
      <w:r w:rsidR="001D214E" w:rsidRPr="001D214E">
        <w:rPr>
          <w:rFonts w:ascii="Arial" w:hAnsi="Arial" w:cs="Arial"/>
          <w:sz w:val="20"/>
          <w:szCs w:val="20"/>
          <w:vertAlign w:val="subscript"/>
          <w:lang w:val="en-US"/>
        </w:rPr>
        <w:t>3</w:t>
      </w:r>
      <w:r w:rsidR="001D214E" w:rsidRPr="001D214E">
        <w:rPr>
          <w:rFonts w:ascii="Arial" w:hAnsi="Arial" w:cs="Arial"/>
          <w:sz w:val="20"/>
          <w:szCs w:val="20"/>
          <w:lang w:val="en-US"/>
        </w:rPr>
        <w:t xml:space="preserve">-glyphosate and 60% of </w:t>
      </w:r>
      <w:r w:rsidR="001D214E" w:rsidRPr="001D214E">
        <w:rPr>
          <w:rFonts w:ascii="Arial" w:hAnsi="Arial" w:cs="Arial"/>
          <w:sz w:val="20"/>
          <w:szCs w:val="20"/>
          <w:vertAlign w:val="superscript"/>
          <w:lang w:val="en-US"/>
        </w:rPr>
        <w:t>13</w:t>
      </w:r>
      <w:r w:rsidR="001D214E" w:rsidRPr="001D214E">
        <w:rPr>
          <w:rFonts w:ascii="Arial" w:hAnsi="Arial" w:cs="Arial"/>
          <w:sz w:val="20"/>
          <w:szCs w:val="20"/>
          <w:lang w:val="en-US"/>
        </w:rPr>
        <w:t>C</w:t>
      </w:r>
      <w:r w:rsidR="001D214E" w:rsidRPr="001D214E">
        <w:rPr>
          <w:rFonts w:ascii="Arial" w:hAnsi="Arial" w:cs="Arial"/>
          <w:sz w:val="20"/>
          <w:szCs w:val="20"/>
          <w:vertAlign w:val="subscript"/>
          <w:lang w:val="en-US"/>
        </w:rPr>
        <w:t>6</w:t>
      </w:r>
      <w:r w:rsidR="001D214E" w:rsidRPr="001D214E">
        <w:rPr>
          <w:rFonts w:ascii="Arial" w:hAnsi="Arial" w:cs="Arial"/>
          <w:sz w:val="20"/>
          <w:szCs w:val="20"/>
          <w:lang w:val="en-US"/>
        </w:rPr>
        <w:t xml:space="preserve">-metamitron equivalents. In line with </w:t>
      </w:r>
      <w:r w:rsidR="00666C07">
        <w:rPr>
          <w:rFonts w:ascii="Arial" w:hAnsi="Arial" w:cs="Arial"/>
          <w:sz w:val="20"/>
          <w:szCs w:val="20"/>
          <w:lang w:val="en-US"/>
        </w:rPr>
        <w:t xml:space="preserve">the </w:t>
      </w:r>
      <w:r w:rsidR="001D214E" w:rsidRPr="001D214E">
        <w:rPr>
          <w:rFonts w:ascii="Arial" w:hAnsi="Arial" w:cs="Arial"/>
          <w:sz w:val="20"/>
          <w:szCs w:val="20"/>
          <w:lang w:val="en-US"/>
        </w:rPr>
        <w:t xml:space="preserve">high mineralization, the content of </w:t>
      </w:r>
      <w:r w:rsidR="00113FA5" w:rsidRPr="001D214E">
        <w:rPr>
          <w:rFonts w:ascii="Arial" w:hAnsi="Arial" w:cs="Arial"/>
          <w:sz w:val="20"/>
          <w:szCs w:val="20"/>
          <w:vertAlign w:val="superscript"/>
          <w:lang w:val="en-US"/>
        </w:rPr>
        <w:t>13</w:t>
      </w:r>
      <w:r w:rsidR="00113FA5" w:rsidRPr="001D214E">
        <w:rPr>
          <w:rFonts w:ascii="Arial" w:hAnsi="Arial" w:cs="Arial"/>
          <w:sz w:val="20"/>
          <w:szCs w:val="20"/>
          <w:lang w:val="en-US"/>
        </w:rPr>
        <w:t>C-</w:t>
      </w:r>
      <w:r w:rsidR="00363DB9" w:rsidRPr="001D214E">
        <w:rPr>
          <w:rFonts w:ascii="Arial" w:hAnsi="Arial" w:cs="Arial"/>
          <w:sz w:val="20"/>
          <w:szCs w:val="20"/>
          <w:lang w:val="en-US"/>
        </w:rPr>
        <w:t>biogenic residue</w:t>
      </w:r>
      <w:r w:rsidR="00113FA5" w:rsidRPr="001D214E">
        <w:rPr>
          <w:rFonts w:ascii="Arial" w:hAnsi="Arial" w:cs="Arial"/>
          <w:sz w:val="20"/>
          <w:szCs w:val="20"/>
          <w:lang w:val="en-US"/>
        </w:rPr>
        <w:t xml:space="preserve"> </w:t>
      </w:r>
      <w:r w:rsidR="001D214E" w:rsidRPr="001D214E">
        <w:rPr>
          <w:rFonts w:ascii="Arial" w:hAnsi="Arial" w:cs="Arial"/>
          <w:sz w:val="20"/>
          <w:szCs w:val="20"/>
          <w:lang w:val="en-US"/>
        </w:rPr>
        <w:t xml:space="preserve">from these herbicides was high and amounted to </w:t>
      </w:r>
      <w:r w:rsidR="00113FA5" w:rsidRPr="001D214E">
        <w:rPr>
          <w:rFonts w:ascii="Arial" w:hAnsi="Arial" w:cs="Arial"/>
          <w:sz w:val="20"/>
          <w:szCs w:val="20"/>
          <w:lang w:val="en-US"/>
        </w:rPr>
        <w:t xml:space="preserve">44%, </w:t>
      </w:r>
      <w:r w:rsidR="00363DB9" w:rsidRPr="001D214E">
        <w:rPr>
          <w:rFonts w:ascii="Arial" w:hAnsi="Arial" w:cs="Arial"/>
          <w:sz w:val="20"/>
          <w:szCs w:val="20"/>
          <w:lang w:val="en-US"/>
        </w:rPr>
        <w:t>2</w:t>
      </w:r>
      <w:r w:rsidR="00113FA5" w:rsidRPr="001D214E">
        <w:rPr>
          <w:rFonts w:ascii="Arial" w:hAnsi="Arial" w:cs="Arial"/>
          <w:sz w:val="20"/>
          <w:szCs w:val="20"/>
          <w:lang w:val="en-US"/>
        </w:rPr>
        <w:t>0</w:t>
      </w:r>
      <w:r w:rsidR="00363DB9" w:rsidRPr="001D214E">
        <w:rPr>
          <w:rFonts w:ascii="Arial" w:hAnsi="Arial" w:cs="Arial"/>
          <w:sz w:val="20"/>
          <w:szCs w:val="20"/>
          <w:lang w:val="en-US"/>
        </w:rPr>
        <w:t xml:space="preserve">% </w:t>
      </w:r>
      <w:r w:rsidR="00113FA5" w:rsidRPr="001D214E">
        <w:rPr>
          <w:rFonts w:ascii="Arial" w:hAnsi="Arial" w:cs="Arial"/>
          <w:sz w:val="20"/>
          <w:szCs w:val="20"/>
          <w:lang w:val="en-US"/>
        </w:rPr>
        <w:t xml:space="preserve">and 30% </w:t>
      </w:r>
      <w:r w:rsidR="00363DB9" w:rsidRPr="001D214E">
        <w:rPr>
          <w:rFonts w:ascii="Arial" w:hAnsi="Arial" w:cs="Arial"/>
          <w:sz w:val="20"/>
          <w:szCs w:val="20"/>
          <w:lang w:val="en-US"/>
        </w:rPr>
        <w:t xml:space="preserve">of </w:t>
      </w:r>
      <w:r w:rsidR="00363DB9" w:rsidRPr="001D214E">
        <w:rPr>
          <w:rFonts w:ascii="Arial" w:hAnsi="Arial" w:cs="Arial"/>
          <w:sz w:val="20"/>
          <w:szCs w:val="20"/>
          <w:vertAlign w:val="superscript"/>
          <w:lang w:val="en-US"/>
        </w:rPr>
        <w:t>13</w:t>
      </w:r>
      <w:r w:rsidR="00363DB9" w:rsidRPr="001D214E">
        <w:rPr>
          <w:rFonts w:ascii="Arial" w:hAnsi="Arial" w:cs="Arial"/>
          <w:sz w:val="20"/>
          <w:szCs w:val="20"/>
          <w:lang w:val="en-US"/>
        </w:rPr>
        <w:t>C</w:t>
      </w:r>
      <w:r w:rsidR="00363DB9" w:rsidRPr="001D214E">
        <w:rPr>
          <w:rFonts w:ascii="Arial" w:hAnsi="Arial" w:cs="Arial"/>
          <w:sz w:val="20"/>
          <w:szCs w:val="20"/>
          <w:vertAlign w:val="subscript"/>
          <w:lang w:val="en-US"/>
        </w:rPr>
        <w:t>6</w:t>
      </w:r>
      <w:r w:rsidR="00363DB9" w:rsidRPr="001D214E">
        <w:rPr>
          <w:rFonts w:ascii="Arial" w:hAnsi="Arial" w:cs="Arial"/>
          <w:sz w:val="20"/>
          <w:szCs w:val="20"/>
          <w:lang w:val="en-US"/>
        </w:rPr>
        <w:t>-2</w:t>
      </w:r>
      <w:proofErr w:type="gramStart"/>
      <w:r w:rsidR="00363DB9" w:rsidRPr="001D214E">
        <w:rPr>
          <w:rFonts w:ascii="Arial" w:hAnsi="Arial" w:cs="Arial"/>
          <w:sz w:val="20"/>
          <w:szCs w:val="20"/>
          <w:lang w:val="en-US"/>
        </w:rPr>
        <w:t>,4</w:t>
      </w:r>
      <w:proofErr w:type="gramEnd"/>
      <w:r w:rsidR="00363DB9" w:rsidRPr="001D214E">
        <w:rPr>
          <w:rFonts w:ascii="Arial" w:hAnsi="Arial" w:cs="Arial"/>
          <w:sz w:val="20"/>
          <w:szCs w:val="20"/>
          <w:lang w:val="en-US"/>
        </w:rPr>
        <w:t>-D</w:t>
      </w:r>
      <w:r w:rsidR="00113FA5" w:rsidRPr="001D214E">
        <w:rPr>
          <w:rFonts w:ascii="Arial" w:hAnsi="Arial" w:cs="Arial"/>
          <w:sz w:val="20"/>
          <w:szCs w:val="20"/>
          <w:lang w:val="en-US"/>
        </w:rPr>
        <w:t xml:space="preserve">, </w:t>
      </w:r>
      <w:r w:rsidR="00363DB9" w:rsidRPr="001D214E">
        <w:rPr>
          <w:rFonts w:ascii="Arial" w:hAnsi="Arial" w:cs="Arial"/>
          <w:sz w:val="20"/>
          <w:szCs w:val="20"/>
          <w:vertAlign w:val="superscript"/>
          <w:lang w:val="en-US"/>
        </w:rPr>
        <w:t>13</w:t>
      </w:r>
      <w:r w:rsidR="00363DB9" w:rsidRPr="001D214E">
        <w:rPr>
          <w:rFonts w:ascii="Arial" w:hAnsi="Arial" w:cs="Arial"/>
          <w:sz w:val="20"/>
          <w:szCs w:val="20"/>
          <w:lang w:val="en-US"/>
        </w:rPr>
        <w:t>C</w:t>
      </w:r>
      <w:r w:rsidR="00363DB9" w:rsidRPr="001D214E">
        <w:rPr>
          <w:rFonts w:ascii="Arial" w:hAnsi="Arial" w:cs="Arial"/>
          <w:sz w:val="20"/>
          <w:szCs w:val="20"/>
          <w:vertAlign w:val="subscript"/>
          <w:lang w:val="en-US"/>
        </w:rPr>
        <w:t>3</w:t>
      </w:r>
      <w:r w:rsidR="00363DB9" w:rsidRPr="001D214E">
        <w:rPr>
          <w:rFonts w:ascii="Arial" w:hAnsi="Arial" w:cs="Arial"/>
          <w:sz w:val="20"/>
          <w:szCs w:val="20"/>
          <w:lang w:val="en-US"/>
        </w:rPr>
        <w:t xml:space="preserve">-glyphosate </w:t>
      </w:r>
      <w:r w:rsidR="00113FA5" w:rsidRPr="001D214E">
        <w:rPr>
          <w:rFonts w:ascii="Arial" w:hAnsi="Arial" w:cs="Arial"/>
          <w:sz w:val="20"/>
          <w:szCs w:val="20"/>
          <w:lang w:val="en-US"/>
        </w:rPr>
        <w:t xml:space="preserve">and </w:t>
      </w:r>
      <w:r w:rsidR="00113FA5" w:rsidRPr="001D214E">
        <w:rPr>
          <w:rFonts w:ascii="Arial" w:hAnsi="Arial" w:cs="Arial"/>
          <w:sz w:val="20"/>
          <w:szCs w:val="20"/>
          <w:vertAlign w:val="superscript"/>
          <w:lang w:val="en-US"/>
        </w:rPr>
        <w:t>13</w:t>
      </w:r>
      <w:r w:rsidR="00113FA5" w:rsidRPr="001D214E">
        <w:rPr>
          <w:rFonts w:ascii="Arial" w:hAnsi="Arial" w:cs="Arial"/>
          <w:sz w:val="20"/>
          <w:szCs w:val="20"/>
          <w:lang w:val="en-US"/>
        </w:rPr>
        <w:t>C</w:t>
      </w:r>
      <w:r w:rsidR="00113FA5" w:rsidRPr="001D214E">
        <w:rPr>
          <w:rFonts w:ascii="Arial" w:hAnsi="Arial" w:cs="Arial"/>
          <w:sz w:val="20"/>
          <w:szCs w:val="20"/>
          <w:vertAlign w:val="subscript"/>
          <w:lang w:val="en-US"/>
        </w:rPr>
        <w:t>6</w:t>
      </w:r>
      <w:r w:rsidR="00113FA5" w:rsidRPr="001D214E">
        <w:rPr>
          <w:rFonts w:ascii="Arial" w:hAnsi="Arial" w:cs="Arial"/>
          <w:sz w:val="20"/>
          <w:szCs w:val="20"/>
          <w:lang w:val="en-US"/>
        </w:rPr>
        <w:t xml:space="preserve">-metamitron </w:t>
      </w:r>
      <w:r w:rsidR="00363DB9" w:rsidRPr="001D214E">
        <w:rPr>
          <w:rFonts w:ascii="Arial" w:hAnsi="Arial" w:cs="Arial"/>
          <w:sz w:val="20"/>
          <w:szCs w:val="20"/>
          <w:lang w:val="en-US"/>
        </w:rPr>
        <w:t>equivalents</w:t>
      </w:r>
      <w:r w:rsidR="009D642B">
        <w:rPr>
          <w:rFonts w:ascii="Arial" w:hAnsi="Arial" w:cs="Arial"/>
          <w:sz w:val="20"/>
          <w:szCs w:val="20"/>
          <w:lang w:val="en-US"/>
        </w:rPr>
        <w:t>, respectively</w:t>
      </w:r>
      <w:r w:rsidR="001D214E" w:rsidRPr="001D214E">
        <w:rPr>
          <w:rFonts w:ascii="Arial" w:hAnsi="Arial" w:cs="Arial"/>
          <w:sz w:val="20"/>
          <w:szCs w:val="20"/>
          <w:lang w:val="en-US"/>
        </w:rPr>
        <w:t>.</w:t>
      </w:r>
      <w:r w:rsidR="00363DB9" w:rsidRPr="001D214E">
        <w:rPr>
          <w:rFonts w:ascii="Arial" w:hAnsi="Arial" w:cs="Arial"/>
          <w:sz w:val="20"/>
          <w:szCs w:val="20"/>
          <w:lang w:val="en-US"/>
        </w:rPr>
        <w:t xml:space="preserve"> </w:t>
      </w:r>
      <w:r w:rsidR="000C12EB" w:rsidRPr="001D214E">
        <w:rPr>
          <w:rFonts w:ascii="Arial" w:hAnsi="Arial" w:cs="Arial"/>
          <w:sz w:val="20"/>
          <w:szCs w:val="20"/>
          <w:vertAlign w:val="superscript"/>
          <w:lang w:val="en-US"/>
        </w:rPr>
        <w:t>13</w:t>
      </w:r>
      <w:r w:rsidR="000C12EB" w:rsidRPr="001D214E">
        <w:rPr>
          <w:rFonts w:ascii="Arial" w:hAnsi="Arial" w:cs="Arial"/>
          <w:sz w:val="20"/>
          <w:szCs w:val="20"/>
          <w:lang w:val="en-US"/>
        </w:rPr>
        <w:t xml:space="preserve">C-biogenic residues from </w:t>
      </w:r>
      <w:r w:rsidR="000C12EB" w:rsidRPr="001D214E">
        <w:rPr>
          <w:rFonts w:ascii="Arial" w:hAnsi="Arial" w:cs="Arial"/>
          <w:sz w:val="20"/>
          <w:szCs w:val="20"/>
          <w:vertAlign w:val="superscript"/>
          <w:lang w:val="en-US"/>
        </w:rPr>
        <w:t>13</w:t>
      </w:r>
      <w:r w:rsidR="000C12EB" w:rsidRPr="001D214E">
        <w:rPr>
          <w:rFonts w:ascii="Arial" w:hAnsi="Arial" w:cs="Arial"/>
          <w:sz w:val="20"/>
          <w:szCs w:val="20"/>
          <w:lang w:val="en-US"/>
        </w:rPr>
        <w:t>C</w:t>
      </w:r>
      <w:r w:rsidR="000C12EB" w:rsidRPr="001D214E">
        <w:rPr>
          <w:rFonts w:ascii="Arial" w:hAnsi="Arial" w:cs="Arial"/>
          <w:sz w:val="20"/>
          <w:szCs w:val="20"/>
          <w:vertAlign w:val="subscript"/>
          <w:lang w:val="en-US"/>
        </w:rPr>
        <w:t>6</w:t>
      </w:r>
      <w:r w:rsidR="000C12EB" w:rsidRPr="001D214E">
        <w:rPr>
          <w:rFonts w:ascii="Arial" w:hAnsi="Arial" w:cs="Arial"/>
          <w:sz w:val="20"/>
          <w:szCs w:val="20"/>
          <w:lang w:val="en-US"/>
        </w:rPr>
        <w:t>-2</w:t>
      </w:r>
      <w:proofErr w:type="gramStart"/>
      <w:r w:rsidR="000C12EB" w:rsidRPr="001D214E">
        <w:rPr>
          <w:rFonts w:ascii="Arial" w:hAnsi="Arial" w:cs="Arial"/>
          <w:sz w:val="20"/>
          <w:szCs w:val="20"/>
          <w:lang w:val="en-US"/>
        </w:rPr>
        <w:t>,4</w:t>
      </w:r>
      <w:proofErr w:type="gramEnd"/>
      <w:r w:rsidR="000C12EB" w:rsidRPr="001D214E">
        <w:rPr>
          <w:rFonts w:ascii="Arial" w:hAnsi="Arial" w:cs="Arial"/>
          <w:sz w:val="20"/>
          <w:szCs w:val="20"/>
          <w:lang w:val="en-US"/>
        </w:rPr>
        <w:t xml:space="preserve">-D, </w:t>
      </w:r>
      <w:r w:rsidR="000C12EB" w:rsidRPr="001D214E">
        <w:rPr>
          <w:rFonts w:ascii="Arial" w:hAnsi="Arial" w:cs="Arial"/>
          <w:sz w:val="20"/>
          <w:szCs w:val="20"/>
          <w:vertAlign w:val="superscript"/>
          <w:lang w:val="en-US"/>
        </w:rPr>
        <w:t>13</w:t>
      </w:r>
      <w:r w:rsidR="000C12EB" w:rsidRPr="001D214E">
        <w:rPr>
          <w:rFonts w:ascii="Arial" w:hAnsi="Arial" w:cs="Arial"/>
          <w:sz w:val="20"/>
          <w:szCs w:val="20"/>
          <w:lang w:val="en-US"/>
        </w:rPr>
        <w:t>C</w:t>
      </w:r>
      <w:r w:rsidR="000C12EB" w:rsidRPr="001D214E">
        <w:rPr>
          <w:rFonts w:ascii="Arial" w:hAnsi="Arial" w:cs="Arial"/>
          <w:sz w:val="20"/>
          <w:szCs w:val="20"/>
          <w:vertAlign w:val="subscript"/>
          <w:lang w:val="en-US"/>
        </w:rPr>
        <w:t>3</w:t>
      </w:r>
      <w:r w:rsidR="000C12EB" w:rsidRPr="001D214E">
        <w:rPr>
          <w:rFonts w:ascii="Arial" w:hAnsi="Arial" w:cs="Arial"/>
          <w:sz w:val="20"/>
          <w:szCs w:val="20"/>
          <w:lang w:val="en-US"/>
        </w:rPr>
        <w:t>-glyphosate and</w:t>
      </w:r>
      <w:r w:rsidR="000C12EB" w:rsidRPr="001D214E">
        <w:rPr>
          <w:rFonts w:ascii="Arial" w:hAnsi="Arial" w:cs="Arial"/>
          <w:sz w:val="20"/>
          <w:szCs w:val="20"/>
          <w:vertAlign w:val="superscript"/>
          <w:lang w:val="en-US"/>
        </w:rPr>
        <w:t xml:space="preserve"> 13</w:t>
      </w:r>
      <w:r w:rsidR="000C12EB" w:rsidRPr="001D214E">
        <w:rPr>
          <w:rFonts w:ascii="Arial" w:hAnsi="Arial" w:cs="Arial"/>
          <w:sz w:val="20"/>
          <w:szCs w:val="20"/>
          <w:lang w:val="en-US"/>
        </w:rPr>
        <w:t>C</w:t>
      </w:r>
      <w:r w:rsidR="000C12EB" w:rsidRPr="001D214E">
        <w:rPr>
          <w:rFonts w:ascii="Arial" w:hAnsi="Arial" w:cs="Arial"/>
          <w:sz w:val="20"/>
          <w:szCs w:val="20"/>
          <w:vertAlign w:val="subscript"/>
          <w:lang w:val="en-US"/>
        </w:rPr>
        <w:t>6</w:t>
      </w:r>
      <w:r w:rsidR="000C12EB" w:rsidRPr="001D214E">
        <w:rPr>
          <w:rFonts w:ascii="Arial" w:hAnsi="Arial" w:cs="Arial"/>
          <w:sz w:val="20"/>
          <w:szCs w:val="20"/>
          <w:lang w:val="en-US"/>
        </w:rPr>
        <w:t xml:space="preserve">-metamitron constituted </w:t>
      </w:r>
      <w:r w:rsidR="001D3920">
        <w:rPr>
          <w:rFonts w:ascii="Arial" w:hAnsi="Arial" w:cs="Arial"/>
          <w:sz w:val="20"/>
          <w:szCs w:val="20"/>
          <w:lang w:val="en-US"/>
        </w:rPr>
        <w:t xml:space="preserve">nearly </w:t>
      </w:r>
      <w:r w:rsidR="000C12EB" w:rsidRPr="001D214E">
        <w:rPr>
          <w:rFonts w:ascii="Arial" w:hAnsi="Arial" w:cs="Arial"/>
          <w:sz w:val="20"/>
          <w:szCs w:val="20"/>
          <w:lang w:val="en-US"/>
        </w:rPr>
        <w:t>the total</w:t>
      </w:r>
      <w:r w:rsidR="001D3920">
        <w:rPr>
          <w:rFonts w:ascii="Arial" w:hAnsi="Arial" w:cs="Arial"/>
          <w:sz w:val="20"/>
          <w:szCs w:val="20"/>
          <w:lang w:val="en-US"/>
        </w:rPr>
        <w:t xml:space="preserve"> amou</w:t>
      </w:r>
      <w:r w:rsidR="00E15508">
        <w:rPr>
          <w:rFonts w:ascii="Arial" w:hAnsi="Arial" w:cs="Arial"/>
          <w:sz w:val="20"/>
          <w:szCs w:val="20"/>
          <w:lang w:val="en-US"/>
        </w:rPr>
        <w:t>n</w:t>
      </w:r>
      <w:r w:rsidR="001D3920">
        <w:rPr>
          <w:rFonts w:ascii="Arial" w:hAnsi="Arial" w:cs="Arial"/>
          <w:sz w:val="20"/>
          <w:szCs w:val="20"/>
          <w:lang w:val="en-US"/>
        </w:rPr>
        <w:t>t of</w:t>
      </w:r>
      <w:r w:rsidR="000C12EB" w:rsidRPr="001D214E">
        <w:rPr>
          <w:rFonts w:ascii="Arial" w:hAnsi="Arial" w:cs="Arial"/>
          <w:sz w:val="20"/>
          <w:szCs w:val="20"/>
          <w:lang w:val="en-US"/>
        </w:rPr>
        <w:t xml:space="preserve"> NER.</w:t>
      </w:r>
      <w:r w:rsidR="00347B12">
        <w:rPr>
          <w:rFonts w:ascii="Arial" w:hAnsi="Arial" w:cs="Arial"/>
          <w:sz w:val="20"/>
          <w:szCs w:val="20"/>
          <w:lang w:val="en-US"/>
        </w:rPr>
        <w:t xml:space="preserve"> </w:t>
      </w:r>
      <w:r w:rsidR="00347B12" w:rsidRPr="001D214E">
        <w:rPr>
          <w:rFonts w:ascii="Arial" w:hAnsi="Arial" w:cs="Arial"/>
          <w:sz w:val="20"/>
          <w:szCs w:val="20"/>
          <w:lang w:val="en-US"/>
        </w:rPr>
        <w:t xml:space="preserve">Analogous to the </w:t>
      </w:r>
      <w:r w:rsidR="00347B12" w:rsidRPr="001D214E">
        <w:rPr>
          <w:rFonts w:ascii="Arial" w:hAnsi="Arial" w:cs="Arial"/>
          <w:sz w:val="20"/>
          <w:szCs w:val="20"/>
          <w:vertAlign w:val="superscript"/>
          <w:lang w:val="en-US"/>
        </w:rPr>
        <w:t>13</w:t>
      </w:r>
      <w:r w:rsidR="00347B12" w:rsidRPr="001D214E">
        <w:rPr>
          <w:rFonts w:ascii="Arial" w:hAnsi="Arial" w:cs="Arial"/>
          <w:sz w:val="20"/>
          <w:szCs w:val="20"/>
          <w:lang w:val="en-US"/>
        </w:rPr>
        <w:t xml:space="preserve">C-biogenic residues from </w:t>
      </w:r>
      <w:r w:rsidR="00347B12" w:rsidRPr="001D214E">
        <w:rPr>
          <w:rFonts w:ascii="Arial" w:hAnsi="Arial" w:cs="Arial"/>
          <w:sz w:val="20"/>
          <w:szCs w:val="20"/>
          <w:vertAlign w:val="superscript"/>
          <w:lang w:val="en-US"/>
        </w:rPr>
        <w:t>13</w:t>
      </w:r>
      <w:r w:rsidR="00347B12" w:rsidRPr="001D214E">
        <w:rPr>
          <w:rFonts w:ascii="Arial" w:hAnsi="Arial" w:cs="Arial"/>
          <w:sz w:val="20"/>
          <w:szCs w:val="20"/>
          <w:lang w:val="en-US"/>
        </w:rPr>
        <w:t>C</w:t>
      </w:r>
      <w:r w:rsidR="00347B12" w:rsidRPr="001D214E">
        <w:rPr>
          <w:rFonts w:ascii="Arial" w:hAnsi="Arial" w:cs="Arial"/>
          <w:sz w:val="20"/>
          <w:szCs w:val="20"/>
          <w:vertAlign w:val="subscript"/>
          <w:lang w:val="en-US"/>
        </w:rPr>
        <w:t>3</w:t>
      </w:r>
      <w:r w:rsidR="00347B12" w:rsidRPr="001D214E">
        <w:rPr>
          <w:rFonts w:ascii="Arial" w:hAnsi="Arial" w:cs="Arial"/>
          <w:sz w:val="20"/>
          <w:szCs w:val="20"/>
          <w:lang w:val="en-US"/>
        </w:rPr>
        <w:t xml:space="preserve">-glyphosate, </w:t>
      </w:r>
      <w:r w:rsidR="00347B12" w:rsidRPr="001D214E">
        <w:rPr>
          <w:rFonts w:ascii="Arial" w:hAnsi="Arial" w:cs="Arial"/>
          <w:sz w:val="20"/>
          <w:szCs w:val="20"/>
          <w:vertAlign w:val="superscript"/>
          <w:lang w:val="en-US"/>
        </w:rPr>
        <w:t>15</w:t>
      </w:r>
      <w:r w:rsidR="00347B12" w:rsidRPr="001D214E">
        <w:rPr>
          <w:rFonts w:ascii="Arial" w:hAnsi="Arial" w:cs="Arial"/>
          <w:sz w:val="20"/>
          <w:szCs w:val="20"/>
          <w:lang w:val="en-US"/>
        </w:rPr>
        <w:t xml:space="preserve">N-NER </w:t>
      </w:r>
      <w:proofErr w:type="gramStart"/>
      <w:r w:rsidR="00347B12" w:rsidRPr="001D214E">
        <w:rPr>
          <w:rFonts w:ascii="Arial" w:hAnsi="Arial" w:cs="Arial"/>
          <w:sz w:val="20"/>
          <w:szCs w:val="20"/>
          <w:lang w:val="en-US"/>
        </w:rPr>
        <w:t>were</w:t>
      </w:r>
      <w:proofErr w:type="gramEnd"/>
      <w:r w:rsidR="00347B12" w:rsidRPr="001D214E">
        <w:rPr>
          <w:rFonts w:ascii="Arial" w:hAnsi="Arial" w:cs="Arial"/>
          <w:sz w:val="20"/>
          <w:szCs w:val="20"/>
          <w:lang w:val="en-US"/>
        </w:rPr>
        <w:t xml:space="preserve"> </w:t>
      </w:r>
      <w:r w:rsidR="002B1593">
        <w:rPr>
          <w:rFonts w:ascii="Arial" w:hAnsi="Arial" w:cs="Arial"/>
          <w:sz w:val="20"/>
          <w:szCs w:val="20"/>
          <w:lang w:val="en-US"/>
        </w:rPr>
        <w:t xml:space="preserve">also of </w:t>
      </w:r>
      <w:r w:rsidR="00347B12" w:rsidRPr="001D214E">
        <w:rPr>
          <w:rFonts w:ascii="Arial" w:hAnsi="Arial" w:cs="Arial"/>
          <w:sz w:val="20"/>
          <w:szCs w:val="20"/>
          <w:lang w:val="en-US"/>
        </w:rPr>
        <w:t xml:space="preserve">biogenic origin, </w:t>
      </w:r>
      <w:r w:rsidR="002B1593">
        <w:rPr>
          <w:rFonts w:ascii="Arial" w:hAnsi="Arial" w:cs="Arial"/>
          <w:sz w:val="20"/>
          <w:szCs w:val="20"/>
          <w:lang w:val="en-US"/>
        </w:rPr>
        <w:t xml:space="preserve">and </w:t>
      </w:r>
      <w:r w:rsidR="00347B12" w:rsidRPr="001D214E">
        <w:rPr>
          <w:rFonts w:ascii="Arial" w:hAnsi="Arial" w:cs="Arial"/>
          <w:sz w:val="20"/>
          <w:szCs w:val="20"/>
          <w:lang w:val="en-US"/>
        </w:rPr>
        <w:t xml:space="preserve">at the end </w:t>
      </w:r>
      <w:r w:rsidR="00347B12" w:rsidRPr="001D214E">
        <w:rPr>
          <w:rFonts w:ascii="Arial" w:hAnsi="Arial" w:cs="Arial"/>
          <w:sz w:val="20"/>
          <w:szCs w:val="20"/>
          <w:vertAlign w:val="superscript"/>
          <w:lang w:val="en-US"/>
        </w:rPr>
        <w:t>15</w:t>
      </w:r>
      <w:r w:rsidR="00347B12" w:rsidRPr="001D214E">
        <w:rPr>
          <w:rFonts w:ascii="Arial" w:hAnsi="Arial" w:cs="Arial"/>
          <w:sz w:val="20"/>
          <w:szCs w:val="20"/>
          <w:lang w:val="en-US"/>
        </w:rPr>
        <w:t xml:space="preserve">N-biogenic residues amounted to 50% of </w:t>
      </w:r>
      <w:r w:rsidR="00347B12" w:rsidRPr="001D214E">
        <w:rPr>
          <w:rFonts w:ascii="Arial" w:hAnsi="Arial" w:cs="Arial"/>
          <w:sz w:val="20"/>
          <w:szCs w:val="20"/>
          <w:vertAlign w:val="superscript"/>
          <w:lang w:val="en-US"/>
        </w:rPr>
        <w:t>15</w:t>
      </w:r>
      <w:r w:rsidR="00347B12" w:rsidRPr="001D214E">
        <w:rPr>
          <w:rFonts w:ascii="Arial" w:hAnsi="Arial" w:cs="Arial"/>
          <w:sz w:val="20"/>
          <w:szCs w:val="20"/>
          <w:lang w:val="en-US"/>
        </w:rPr>
        <w:t xml:space="preserve">N-glyphosate equivalents and constituted 100% of </w:t>
      </w:r>
      <w:r w:rsidR="002B1593">
        <w:rPr>
          <w:rFonts w:ascii="Arial" w:hAnsi="Arial" w:cs="Arial"/>
          <w:sz w:val="20"/>
          <w:szCs w:val="20"/>
          <w:lang w:val="en-US"/>
        </w:rPr>
        <w:t xml:space="preserve">the total </w:t>
      </w:r>
      <w:r w:rsidR="00347B12" w:rsidRPr="001D214E">
        <w:rPr>
          <w:rFonts w:ascii="Arial" w:hAnsi="Arial" w:cs="Arial"/>
          <w:sz w:val="20"/>
          <w:szCs w:val="20"/>
          <w:vertAlign w:val="superscript"/>
          <w:lang w:val="en-US"/>
        </w:rPr>
        <w:t>15</w:t>
      </w:r>
      <w:r w:rsidR="00347B12" w:rsidRPr="001D214E">
        <w:rPr>
          <w:rFonts w:ascii="Arial" w:hAnsi="Arial" w:cs="Arial"/>
          <w:sz w:val="20"/>
          <w:szCs w:val="20"/>
          <w:lang w:val="en-US"/>
        </w:rPr>
        <w:t xml:space="preserve">N-NER. The residual 40% was attributed to </w:t>
      </w:r>
      <w:r w:rsidR="00347B12" w:rsidRPr="001D214E">
        <w:rPr>
          <w:rFonts w:ascii="Arial" w:hAnsi="Arial" w:cs="Arial"/>
          <w:sz w:val="20"/>
          <w:szCs w:val="20"/>
          <w:vertAlign w:val="superscript"/>
          <w:lang w:val="en-US"/>
        </w:rPr>
        <w:t>15</w:t>
      </w:r>
      <w:r w:rsidR="00347B12" w:rsidRPr="001D214E">
        <w:rPr>
          <w:rFonts w:ascii="Arial" w:hAnsi="Arial" w:cs="Arial"/>
          <w:sz w:val="20"/>
          <w:szCs w:val="20"/>
          <w:lang w:val="en-US"/>
        </w:rPr>
        <w:t>N-AMPA.</w:t>
      </w:r>
      <w:r w:rsidR="00347B12">
        <w:rPr>
          <w:rFonts w:ascii="Arial" w:hAnsi="Arial" w:cs="Arial"/>
          <w:sz w:val="20"/>
          <w:szCs w:val="20"/>
          <w:lang w:val="en-US"/>
        </w:rPr>
        <w:t xml:space="preserve"> </w:t>
      </w:r>
      <w:r w:rsidR="00A01573" w:rsidRPr="001D214E">
        <w:rPr>
          <w:rFonts w:ascii="Arial" w:hAnsi="Arial" w:cs="Arial"/>
          <w:sz w:val="20"/>
          <w:szCs w:val="20"/>
          <w:lang w:val="en-US"/>
        </w:rPr>
        <w:t>In contrast to 2</w:t>
      </w:r>
      <w:proofErr w:type="gramStart"/>
      <w:r w:rsidR="00A01573" w:rsidRPr="001D214E">
        <w:rPr>
          <w:rFonts w:ascii="Arial" w:hAnsi="Arial" w:cs="Arial"/>
          <w:sz w:val="20"/>
          <w:szCs w:val="20"/>
          <w:lang w:val="en-US"/>
        </w:rPr>
        <w:t>,4</w:t>
      </w:r>
      <w:proofErr w:type="gramEnd"/>
      <w:r w:rsidR="00A01573" w:rsidRPr="001D214E">
        <w:rPr>
          <w:rFonts w:ascii="Arial" w:hAnsi="Arial" w:cs="Arial"/>
          <w:sz w:val="20"/>
          <w:szCs w:val="20"/>
          <w:lang w:val="en-US"/>
        </w:rPr>
        <w:t xml:space="preserve">-D, glyphosate and </w:t>
      </w:r>
      <w:proofErr w:type="spellStart"/>
      <w:r w:rsidR="00A01573" w:rsidRPr="001D214E">
        <w:rPr>
          <w:rFonts w:ascii="Arial" w:hAnsi="Arial" w:cs="Arial"/>
          <w:sz w:val="20"/>
          <w:szCs w:val="20"/>
          <w:lang w:val="en-US"/>
        </w:rPr>
        <w:t>metamitron</w:t>
      </w:r>
      <w:proofErr w:type="spellEnd"/>
      <w:r w:rsidR="00A01573" w:rsidRPr="001D214E">
        <w:rPr>
          <w:rFonts w:ascii="Arial" w:hAnsi="Arial" w:cs="Arial"/>
          <w:sz w:val="20"/>
          <w:szCs w:val="20"/>
          <w:lang w:val="en-US"/>
        </w:rPr>
        <w:t xml:space="preserve">, the </w:t>
      </w:r>
      <w:r w:rsidR="00A01573" w:rsidRPr="00AB7809">
        <w:rPr>
          <w:rFonts w:ascii="Arial" w:hAnsi="Arial" w:cs="Arial"/>
          <w:sz w:val="20"/>
          <w:szCs w:val="20"/>
          <w:lang w:val="en-US"/>
        </w:rPr>
        <w:t xml:space="preserve">mineralization of </w:t>
      </w:r>
      <w:r w:rsidR="00A01573" w:rsidRPr="00AB7809">
        <w:rPr>
          <w:rFonts w:ascii="Arial" w:hAnsi="Arial" w:cs="Arial"/>
          <w:sz w:val="20"/>
          <w:szCs w:val="20"/>
          <w:vertAlign w:val="superscript"/>
          <w:lang w:val="en-US"/>
        </w:rPr>
        <w:t>13</w:t>
      </w:r>
      <w:r w:rsidR="00A01573" w:rsidRPr="00AB7809">
        <w:rPr>
          <w:rFonts w:ascii="Arial" w:hAnsi="Arial" w:cs="Arial"/>
          <w:sz w:val="20"/>
          <w:szCs w:val="20"/>
          <w:lang w:val="en-US"/>
        </w:rPr>
        <w:t>C</w:t>
      </w:r>
      <w:r w:rsidR="00A01573" w:rsidRPr="00AB7809">
        <w:rPr>
          <w:rFonts w:ascii="Arial" w:hAnsi="Arial" w:cs="Arial"/>
          <w:sz w:val="20"/>
          <w:szCs w:val="20"/>
          <w:vertAlign w:val="subscript"/>
          <w:lang w:val="en-US"/>
        </w:rPr>
        <w:t>10</w:t>
      </w:r>
      <w:r w:rsidR="00A01573" w:rsidRPr="00AB7809">
        <w:rPr>
          <w:rFonts w:ascii="Arial" w:hAnsi="Arial" w:cs="Arial"/>
          <w:sz w:val="20"/>
          <w:szCs w:val="20"/>
          <w:vertAlign w:val="superscript"/>
          <w:lang w:val="en-US"/>
        </w:rPr>
        <w:t>15</w:t>
      </w:r>
      <w:r w:rsidR="00A01573" w:rsidRPr="00AB7809">
        <w:rPr>
          <w:rFonts w:ascii="Arial" w:hAnsi="Arial" w:cs="Arial"/>
          <w:sz w:val="20"/>
          <w:szCs w:val="20"/>
          <w:lang w:val="en-US"/>
        </w:rPr>
        <w:t xml:space="preserve">N-bentazone was very low (~9% after 1 year). However, low </w:t>
      </w:r>
      <w:r w:rsidR="00A01573" w:rsidRPr="00AB7809">
        <w:rPr>
          <w:rFonts w:ascii="Arial" w:hAnsi="Arial" w:cs="Arial"/>
          <w:sz w:val="20"/>
          <w:szCs w:val="20"/>
          <w:vertAlign w:val="superscript"/>
          <w:lang w:val="en-US"/>
        </w:rPr>
        <w:t>13</w:t>
      </w:r>
      <w:r w:rsidR="00A01573" w:rsidRPr="00AB7809">
        <w:rPr>
          <w:rFonts w:ascii="Arial" w:hAnsi="Arial" w:cs="Arial"/>
          <w:sz w:val="20"/>
          <w:szCs w:val="20"/>
          <w:lang w:val="en-US"/>
        </w:rPr>
        <w:t xml:space="preserve">C-label incorporation from this recalcitrant pesticide into PLFA was also observed (initially into gram-negative bacteria, in the later phase also into gram-positive bacteria). </w:t>
      </w:r>
      <w:r w:rsidR="00AB7809" w:rsidRPr="00AB7809">
        <w:rPr>
          <w:rFonts w:ascii="Arial" w:hAnsi="Arial" w:cs="Arial"/>
          <w:sz w:val="20"/>
          <w:szCs w:val="20"/>
          <w:lang w:val="en-US"/>
        </w:rPr>
        <w:t xml:space="preserve">Therefore, in case of more recalcitrant pesticides like </w:t>
      </w:r>
      <w:proofErr w:type="spellStart"/>
      <w:r w:rsidR="00AB7809" w:rsidRPr="00AB7809">
        <w:rPr>
          <w:rFonts w:ascii="Arial" w:hAnsi="Arial" w:cs="Arial"/>
          <w:sz w:val="20"/>
          <w:szCs w:val="20"/>
          <w:lang w:val="en-US"/>
        </w:rPr>
        <w:t>bentazone</w:t>
      </w:r>
      <w:proofErr w:type="spellEnd"/>
      <w:r w:rsidR="00AB7809" w:rsidRPr="00AB7809">
        <w:rPr>
          <w:rFonts w:ascii="Arial" w:hAnsi="Arial" w:cs="Arial"/>
          <w:sz w:val="20"/>
          <w:szCs w:val="20"/>
          <w:lang w:val="en-US"/>
        </w:rPr>
        <w:t xml:space="preserve">, the </w:t>
      </w:r>
      <w:r w:rsidR="002A21A5">
        <w:rPr>
          <w:rFonts w:ascii="Arial" w:hAnsi="Arial" w:cs="Arial"/>
          <w:sz w:val="20"/>
          <w:szCs w:val="20"/>
          <w:lang w:val="en-US"/>
        </w:rPr>
        <w:t>formation of biogenic residues</w:t>
      </w:r>
      <w:r w:rsidR="00AB7809" w:rsidRPr="00AB7809">
        <w:rPr>
          <w:rFonts w:ascii="Arial" w:hAnsi="Arial" w:cs="Arial"/>
          <w:sz w:val="20"/>
          <w:szCs w:val="20"/>
          <w:lang w:val="en-US"/>
        </w:rPr>
        <w:t xml:space="preserve">, although </w:t>
      </w:r>
      <w:r w:rsidR="002A21A5">
        <w:rPr>
          <w:rFonts w:ascii="Arial" w:hAnsi="Arial" w:cs="Arial"/>
          <w:sz w:val="20"/>
          <w:szCs w:val="20"/>
          <w:lang w:val="en-US"/>
        </w:rPr>
        <w:t>expected</w:t>
      </w:r>
      <w:r w:rsidR="00AB7809" w:rsidRPr="00AB7809">
        <w:rPr>
          <w:rFonts w:ascii="Arial" w:hAnsi="Arial" w:cs="Arial"/>
          <w:sz w:val="20"/>
          <w:szCs w:val="20"/>
          <w:lang w:val="en-US"/>
        </w:rPr>
        <w:t xml:space="preserve"> to be very low, cannot be completely excluded.</w:t>
      </w:r>
    </w:p>
    <w:p w:rsidR="000F7BA8" w:rsidRPr="00130766" w:rsidRDefault="00130766" w:rsidP="00130766">
      <w:pPr>
        <w:spacing w:before="480"/>
        <w:jc w:val="both"/>
        <w:rPr>
          <w:rFonts w:ascii="Arial" w:hAnsi="Arial" w:cs="Arial"/>
          <w:i/>
          <w:sz w:val="20"/>
          <w:szCs w:val="20"/>
          <w:lang w:val="en-US"/>
        </w:rPr>
      </w:pPr>
      <w:r w:rsidRPr="00130766">
        <w:rPr>
          <w:rFonts w:ascii="Arial" w:hAnsi="Arial" w:cs="Arial"/>
          <w:i/>
          <w:sz w:val="20"/>
          <w:szCs w:val="20"/>
          <w:lang w:val="en-US"/>
        </w:rPr>
        <w:t>Bibliography:</w:t>
      </w:r>
    </w:p>
    <w:p w:rsidR="008B1523" w:rsidRPr="004435C3" w:rsidRDefault="008B1523" w:rsidP="004435C3">
      <w:pPr>
        <w:ind w:firstLine="6"/>
        <w:jc w:val="both"/>
        <w:rPr>
          <w:rFonts w:ascii="Arial" w:hAnsi="Arial" w:cs="Arial"/>
          <w:noProof/>
          <w:sz w:val="20"/>
          <w:szCs w:val="20"/>
        </w:rPr>
      </w:pPr>
      <w:r w:rsidRPr="002A21A5">
        <w:rPr>
          <w:rFonts w:ascii="Arial" w:hAnsi="Arial" w:cs="Arial"/>
          <w:noProof/>
          <w:sz w:val="20"/>
          <w:szCs w:val="20"/>
          <w:lang w:val="en-US"/>
        </w:rPr>
        <w:t xml:space="preserve">Barriuso E, Benoit P, Dubus IG. 2008. </w:t>
      </w:r>
      <w:r w:rsidRPr="004435C3">
        <w:rPr>
          <w:rFonts w:ascii="Arial" w:hAnsi="Arial" w:cs="Arial"/>
          <w:noProof/>
          <w:sz w:val="20"/>
          <w:szCs w:val="20"/>
          <w:lang w:val="en-US"/>
        </w:rPr>
        <w:t>Formation of pesticide nonextrac</w:t>
      </w:r>
      <w:r w:rsidR="00130766" w:rsidRPr="004435C3">
        <w:rPr>
          <w:rFonts w:ascii="Arial" w:hAnsi="Arial" w:cs="Arial"/>
          <w:noProof/>
          <w:sz w:val="20"/>
          <w:szCs w:val="20"/>
          <w:lang w:val="en-US"/>
        </w:rPr>
        <w:t xml:space="preserve">table (bound) residues in soil: </w:t>
      </w:r>
      <w:r w:rsidRPr="004435C3">
        <w:rPr>
          <w:rFonts w:ascii="Arial" w:hAnsi="Arial" w:cs="Arial"/>
          <w:noProof/>
          <w:sz w:val="20"/>
          <w:szCs w:val="20"/>
          <w:lang w:val="en-US"/>
        </w:rPr>
        <w:t xml:space="preserve">magnitude, controlling factors and reversibility. </w:t>
      </w:r>
      <w:r w:rsidRPr="004435C3">
        <w:rPr>
          <w:rFonts w:ascii="Arial" w:hAnsi="Arial" w:cs="Arial"/>
          <w:noProof/>
          <w:sz w:val="20"/>
          <w:szCs w:val="20"/>
        </w:rPr>
        <w:t>Environ Sci Technol</w:t>
      </w:r>
      <w:r w:rsidRPr="004435C3">
        <w:rPr>
          <w:rFonts w:ascii="Arial" w:hAnsi="Arial" w:cs="Arial"/>
          <w:i/>
          <w:noProof/>
          <w:sz w:val="20"/>
          <w:szCs w:val="20"/>
        </w:rPr>
        <w:t xml:space="preserve"> </w:t>
      </w:r>
      <w:r w:rsidRPr="004435C3">
        <w:rPr>
          <w:rFonts w:ascii="Arial" w:hAnsi="Arial" w:cs="Arial"/>
          <w:noProof/>
          <w:sz w:val="20"/>
          <w:szCs w:val="20"/>
        </w:rPr>
        <w:t>42: 1845-1854.</w:t>
      </w:r>
    </w:p>
    <w:p w:rsidR="004435C3" w:rsidRPr="004435C3" w:rsidRDefault="004435C3" w:rsidP="004435C3">
      <w:pPr>
        <w:ind w:firstLine="6"/>
        <w:jc w:val="both"/>
        <w:rPr>
          <w:rFonts w:ascii="Arial" w:hAnsi="Arial" w:cs="Arial"/>
          <w:noProof/>
          <w:sz w:val="20"/>
          <w:szCs w:val="20"/>
        </w:rPr>
      </w:pPr>
      <w:r w:rsidRPr="004435C3">
        <w:rPr>
          <w:rFonts w:ascii="Arial" w:hAnsi="Arial" w:cs="Arial"/>
          <w:sz w:val="20"/>
          <w:szCs w:val="20"/>
          <w:lang w:val="en-US"/>
        </w:rPr>
        <w:t>Nowak KM,</w:t>
      </w:r>
      <w:r w:rsidRPr="004435C3">
        <w:rPr>
          <w:rFonts w:ascii="Arial" w:hAnsi="Arial" w:cs="Arial"/>
          <w:b/>
          <w:sz w:val="20"/>
          <w:szCs w:val="20"/>
          <w:lang w:val="en-US"/>
        </w:rPr>
        <w:t xml:space="preserve"> </w:t>
      </w:r>
      <w:proofErr w:type="spellStart"/>
      <w:r w:rsidRPr="004435C3">
        <w:rPr>
          <w:rFonts w:ascii="Arial" w:hAnsi="Arial" w:cs="Arial"/>
          <w:sz w:val="20"/>
          <w:szCs w:val="20"/>
          <w:lang w:val="en-US"/>
        </w:rPr>
        <w:t>Miltner</w:t>
      </w:r>
      <w:proofErr w:type="spellEnd"/>
      <w:r w:rsidRPr="004435C3">
        <w:rPr>
          <w:rFonts w:ascii="Arial" w:hAnsi="Arial" w:cs="Arial"/>
          <w:sz w:val="20"/>
          <w:szCs w:val="20"/>
          <w:lang w:val="en-US"/>
        </w:rPr>
        <w:t xml:space="preserve"> A, </w:t>
      </w:r>
      <w:proofErr w:type="spellStart"/>
      <w:r w:rsidRPr="004435C3">
        <w:rPr>
          <w:rFonts w:ascii="Arial" w:hAnsi="Arial" w:cs="Arial"/>
          <w:sz w:val="20"/>
          <w:szCs w:val="20"/>
          <w:lang w:val="en-US"/>
        </w:rPr>
        <w:t>Gehre</w:t>
      </w:r>
      <w:proofErr w:type="spellEnd"/>
      <w:r w:rsidRPr="004435C3">
        <w:rPr>
          <w:rFonts w:ascii="Arial" w:hAnsi="Arial" w:cs="Arial"/>
          <w:sz w:val="20"/>
          <w:szCs w:val="20"/>
          <w:lang w:val="en-US"/>
        </w:rPr>
        <w:t xml:space="preserve"> M, </w:t>
      </w:r>
      <w:proofErr w:type="spellStart"/>
      <w:r w:rsidRPr="004435C3">
        <w:rPr>
          <w:rFonts w:ascii="Arial" w:hAnsi="Arial" w:cs="Arial"/>
          <w:sz w:val="20"/>
          <w:szCs w:val="20"/>
          <w:lang w:val="en-US"/>
        </w:rPr>
        <w:t>Schäffer</w:t>
      </w:r>
      <w:proofErr w:type="spellEnd"/>
      <w:r w:rsidRPr="004435C3">
        <w:rPr>
          <w:rFonts w:ascii="Arial" w:hAnsi="Arial" w:cs="Arial"/>
          <w:sz w:val="20"/>
          <w:szCs w:val="20"/>
          <w:lang w:val="en-US"/>
        </w:rPr>
        <w:t xml:space="preserve"> A, </w:t>
      </w:r>
      <w:proofErr w:type="spellStart"/>
      <w:r w:rsidRPr="004435C3">
        <w:rPr>
          <w:rFonts w:ascii="Arial" w:hAnsi="Arial" w:cs="Arial"/>
          <w:sz w:val="20"/>
          <w:szCs w:val="20"/>
          <w:lang w:val="en-US"/>
        </w:rPr>
        <w:t>Kästner</w:t>
      </w:r>
      <w:proofErr w:type="spellEnd"/>
      <w:r w:rsidRPr="004435C3">
        <w:rPr>
          <w:rFonts w:ascii="Arial" w:hAnsi="Arial" w:cs="Arial"/>
          <w:sz w:val="20"/>
          <w:szCs w:val="20"/>
          <w:lang w:val="en-US"/>
        </w:rPr>
        <w:t xml:space="preserve"> M. 2011. Formation and fate of bound residues from microbial biomass during 2</w:t>
      </w:r>
      <w:proofErr w:type="gramStart"/>
      <w:r w:rsidRPr="004435C3">
        <w:rPr>
          <w:rFonts w:ascii="Arial" w:hAnsi="Arial" w:cs="Arial"/>
          <w:sz w:val="20"/>
          <w:szCs w:val="20"/>
          <w:lang w:val="en-US"/>
        </w:rPr>
        <w:t>,4</w:t>
      </w:r>
      <w:proofErr w:type="gramEnd"/>
      <w:r w:rsidRPr="004435C3">
        <w:rPr>
          <w:rFonts w:ascii="Arial" w:hAnsi="Arial" w:cs="Arial"/>
          <w:sz w:val="20"/>
          <w:szCs w:val="20"/>
          <w:lang w:val="en-US"/>
        </w:rPr>
        <w:t xml:space="preserve">-D degradation in soil. Environ </w:t>
      </w:r>
      <w:proofErr w:type="spellStart"/>
      <w:r w:rsidRPr="004435C3">
        <w:rPr>
          <w:rFonts w:ascii="Arial" w:hAnsi="Arial" w:cs="Arial"/>
          <w:sz w:val="20"/>
          <w:szCs w:val="20"/>
          <w:lang w:val="en-US"/>
        </w:rPr>
        <w:t>Sci</w:t>
      </w:r>
      <w:proofErr w:type="spellEnd"/>
      <w:r w:rsidRPr="004435C3">
        <w:rPr>
          <w:rFonts w:ascii="Arial" w:hAnsi="Arial" w:cs="Arial"/>
          <w:sz w:val="20"/>
          <w:szCs w:val="20"/>
          <w:lang w:val="en-US"/>
        </w:rPr>
        <w:t xml:space="preserve"> </w:t>
      </w:r>
      <w:proofErr w:type="spellStart"/>
      <w:r w:rsidRPr="004435C3">
        <w:rPr>
          <w:rFonts w:ascii="Arial" w:hAnsi="Arial" w:cs="Arial"/>
          <w:sz w:val="20"/>
          <w:szCs w:val="20"/>
          <w:lang w:val="en-US"/>
        </w:rPr>
        <w:t>Technol</w:t>
      </w:r>
      <w:proofErr w:type="spellEnd"/>
      <w:r w:rsidRPr="004435C3">
        <w:rPr>
          <w:rFonts w:ascii="Arial" w:hAnsi="Arial" w:cs="Arial"/>
          <w:bCs/>
          <w:sz w:val="20"/>
          <w:szCs w:val="20"/>
          <w:lang w:val="en-US"/>
        </w:rPr>
        <w:t xml:space="preserve"> 45:</w:t>
      </w:r>
      <w:r w:rsidRPr="004435C3">
        <w:rPr>
          <w:rFonts w:ascii="Arial" w:hAnsi="Arial" w:cs="Arial"/>
          <w:sz w:val="20"/>
          <w:szCs w:val="20"/>
          <w:lang w:val="en-US"/>
        </w:rPr>
        <w:t xml:space="preserve"> 999-1006.</w:t>
      </w:r>
    </w:p>
    <w:p w:rsidR="00C54F4B" w:rsidRPr="00CA30E5" w:rsidRDefault="00C54F4B" w:rsidP="00C54F4B">
      <w:pPr>
        <w:jc w:val="both"/>
        <w:rPr>
          <w:rFonts w:ascii="Arial" w:hAnsi="Arial" w:cs="Arial"/>
          <w:noProof/>
          <w:sz w:val="20"/>
          <w:szCs w:val="20"/>
          <w:lang w:val="en-US"/>
        </w:rPr>
      </w:pPr>
    </w:p>
    <w:sectPr w:rsidR="00C54F4B" w:rsidRPr="00CA30E5" w:rsidSect="009203AA">
      <w:pgSz w:w="11906" w:h="16838" w:code="9"/>
      <w:pgMar w:top="1411" w:right="1123" w:bottom="1123" w:left="1123" w:header="562" w:footer="56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2660F"/>
    <w:rsid w:val="00027ACD"/>
    <w:rsid w:val="00037B95"/>
    <w:rsid w:val="00047CA2"/>
    <w:rsid w:val="000C12EB"/>
    <w:rsid w:val="000F2AE9"/>
    <w:rsid w:val="000F5801"/>
    <w:rsid w:val="000F5A0B"/>
    <w:rsid w:val="000F7BA8"/>
    <w:rsid w:val="000F7DDD"/>
    <w:rsid w:val="00110551"/>
    <w:rsid w:val="00113FA5"/>
    <w:rsid w:val="00130766"/>
    <w:rsid w:val="001A6F72"/>
    <w:rsid w:val="001D214E"/>
    <w:rsid w:val="001D282F"/>
    <w:rsid w:val="001D3920"/>
    <w:rsid w:val="001E7FE6"/>
    <w:rsid w:val="001F0A92"/>
    <w:rsid w:val="001F4812"/>
    <w:rsid w:val="00241318"/>
    <w:rsid w:val="0024303B"/>
    <w:rsid w:val="00277421"/>
    <w:rsid w:val="002803D7"/>
    <w:rsid w:val="002A21A5"/>
    <w:rsid w:val="002B1593"/>
    <w:rsid w:val="002C77EB"/>
    <w:rsid w:val="0030511D"/>
    <w:rsid w:val="00347B12"/>
    <w:rsid w:val="00363DB9"/>
    <w:rsid w:val="0037759A"/>
    <w:rsid w:val="004435C3"/>
    <w:rsid w:val="00455675"/>
    <w:rsid w:val="00455DBB"/>
    <w:rsid w:val="004A0DA3"/>
    <w:rsid w:val="004B2CE5"/>
    <w:rsid w:val="004F3F40"/>
    <w:rsid w:val="00536439"/>
    <w:rsid w:val="00572632"/>
    <w:rsid w:val="005A5469"/>
    <w:rsid w:val="005E1E7E"/>
    <w:rsid w:val="00630656"/>
    <w:rsid w:val="00666C07"/>
    <w:rsid w:val="006D1AF7"/>
    <w:rsid w:val="00732063"/>
    <w:rsid w:val="00735D41"/>
    <w:rsid w:val="00754AC3"/>
    <w:rsid w:val="00806EA0"/>
    <w:rsid w:val="00810CA1"/>
    <w:rsid w:val="00882DC5"/>
    <w:rsid w:val="008B1523"/>
    <w:rsid w:val="008C47B6"/>
    <w:rsid w:val="008E1BB9"/>
    <w:rsid w:val="008F7BFB"/>
    <w:rsid w:val="009203AA"/>
    <w:rsid w:val="0098568E"/>
    <w:rsid w:val="009A0703"/>
    <w:rsid w:val="009B473C"/>
    <w:rsid w:val="009D642B"/>
    <w:rsid w:val="009F660C"/>
    <w:rsid w:val="00A01573"/>
    <w:rsid w:val="00A34C75"/>
    <w:rsid w:val="00A377E4"/>
    <w:rsid w:val="00A4450B"/>
    <w:rsid w:val="00AB7809"/>
    <w:rsid w:val="00B10E8D"/>
    <w:rsid w:val="00B51B25"/>
    <w:rsid w:val="00B741F7"/>
    <w:rsid w:val="00BB1F49"/>
    <w:rsid w:val="00BB51C3"/>
    <w:rsid w:val="00C133F4"/>
    <w:rsid w:val="00C22D80"/>
    <w:rsid w:val="00C40C27"/>
    <w:rsid w:val="00C54F4B"/>
    <w:rsid w:val="00C57AD3"/>
    <w:rsid w:val="00C857AF"/>
    <w:rsid w:val="00C97D0F"/>
    <w:rsid w:val="00CA30E5"/>
    <w:rsid w:val="00D047D1"/>
    <w:rsid w:val="00D2223F"/>
    <w:rsid w:val="00D55B8E"/>
    <w:rsid w:val="00D67A1E"/>
    <w:rsid w:val="00DD49D3"/>
    <w:rsid w:val="00DF6705"/>
    <w:rsid w:val="00E05237"/>
    <w:rsid w:val="00E15508"/>
    <w:rsid w:val="00EA6AFB"/>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BalloonText">
    <w:name w:val="Balloon Text"/>
    <w:basedOn w:val="Normal"/>
    <w:link w:val="BalloonTextChar"/>
    <w:uiPriority w:val="99"/>
    <w:semiHidden/>
    <w:unhideWhenUsed/>
    <w:rsid w:val="000F5801"/>
    <w:rPr>
      <w:rFonts w:ascii="Tahoma" w:hAnsi="Tahoma" w:cs="Tahoma"/>
      <w:sz w:val="16"/>
      <w:szCs w:val="16"/>
    </w:rPr>
  </w:style>
  <w:style w:type="character" w:customStyle="1" w:styleId="BalloonTextChar">
    <w:name w:val="Balloon Text Char"/>
    <w:basedOn w:val="DefaultParagraphFont"/>
    <w:link w:val="BalloonText"/>
    <w:uiPriority w:val="99"/>
    <w:semiHidden/>
    <w:rsid w:val="000F5801"/>
    <w:rPr>
      <w:rFonts w:ascii="Tahoma" w:hAnsi="Tahoma" w:cs="Tahoma"/>
      <w:sz w:val="16"/>
      <w:szCs w:val="16"/>
    </w:rPr>
  </w:style>
  <w:style w:type="character" w:styleId="CommentReference">
    <w:name w:val="annotation reference"/>
    <w:basedOn w:val="DefaultParagraphFont"/>
    <w:uiPriority w:val="99"/>
    <w:semiHidden/>
    <w:unhideWhenUsed/>
    <w:rsid w:val="002803D7"/>
    <w:rPr>
      <w:sz w:val="16"/>
      <w:szCs w:val="16"/>
    </w:rPr>
  </w:style>
  <w:style w:type="paragraph" w:styleId="CommentText">
    <w:name w:val="annotation text"/>
    <w:basedOn w:val="Normal"/>
    <w:link w:val="CommentTextChar"/>
    <w:uiPriority w:val="99"/>
    <w:semiHidden/>
    <w:unhideWhenUsed/>
    <w:rsid w:val="002803D7"/>
    <w:rPr>
      <w:sz w:val="20"/>
      <w:szCs w:val="20"/>
    </w:rPr>
  </w:style>
  <w:style w:type="character" w:customStyle="1" w:styleId="CommentTextChar">
    <w:name w:val="Comment Text Char"/>
    <w:basedOn w:val="DefaultParagraphFont"/>
    <w:link w:val="CommentText"/>
    <w:uiPriority w:val="99"/>
    <w:semiHidden/>
    <w:rsid w:val="002803D7"/>
  </w:style>
  <w:style w:type="paragraph" w:styleId="CommentSubject">
    <w:name w:val="annotation subject"/>
    <w:basedOn w:val="CommentText"/>
    <w:next w:val="CommentText"/>
    <w:link w:val="CommentSubjectChar"/>
    <w:uiPriority w:val="99"/>
    <w:semiHidden/>
    <w:unhideWhenUsed/>
    <w:rsid w:val="002803D7"/>
    <w:rPr>
      <w:b/>
      <w:bCs/>
    </w:rPr>
  </w:style>
  <w:style w:type="character" w:customStyle="1" w:styleId="CommentSubjectChar">
    <w:name w:val="Comment Subject Char"/>
    <w:basedOn w:val="CommentTextChar"/>
    <w:link w:val="CommentSubject"/>
    <w:uiPriority w:val="99"/>
    <w:semiHidden/>
    <w:rsid w:val="002803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BalloonText">
    <w:name w:val="Balloon Text"/>
    <w:basedOn w:val="Normal"/>
    <w:link w:val="BalloonTextChar"/>
    <w:uiPriority w:val="99"/>
    <w:semiHidden/>
    <w:unhideWhenUsed/>
    <w:rsid w:val="000F5801"/>
    <w:rPr>
      <w:rFonts w:ascii="Tahoma" w:hAnsi="Tahoma" w:cs="Tahoma"/>
      <w:sz w:val="16"/>
      <w:szCs w:val="16"/>
    </w:rPr>
  </w:style>
  <w:style w:type="character" w:customStyle="1" w:styleId="BalloonTextChar">
    <w:name w:val="Balloon Text Char"/>
    <w:basedOn w:val="DefaultParagraphFont"/>
    <w:link w:val="BalloonText"/>
    <w:uiPriority w:val="99"/>
    <w:semiHidden/>
    <w:rsid w:val="000F5801"/>
    <w:rPr>
      <w:rFonts w:ascii="Tahoma" w:hAnsi="Tahoma" w:cs="Tahoma"/>
      <w:sz w:val="16"/>
      <w:szCs w:val="16"/>
    </w:rPr>
  </w:style>
  <w:style w:type="character" w:styleId="CommentReference">
    <w:name w:val="annotation reference"/>
    <w:basedOn w:val="DefaultParagraphFont"/>
    <w:uiPriority w:val="99"/>
    <w:semiHidden/>
    <w:unhideWhenUsed/>
    <w:rsid w:val="002803D7"/>
    <w:rPr>
      <w:sz w:val="16"/>
      <w:szCs w:val="16"/>
    </w:rPr>
  </w:style>
  <w:style w:type="paragraph" w:styleId="CommentText">
    <w:name w:val="annotation text"/>
    <w:basedOn w:val="Normal"/>
    <w:link w:val="CommentTextChar"/>
    <w:uiPriority w:val="99"/>
    <w:semiHidden/>
    <w:unhideWhenUsed/>
    <w:rsid w:val="002803D7"/>
    <w:rPr>
      <w:sz w:val="20"/>
      <w:szCs w:val="20"/>
    </w:rPr>
  </w:style>
  <w:style w:type="character" w:customStyle="1" w:styleId="CommentTextChar">
    <w:name w:val="Comment Text Char"/>
    <w:basedOn w:val="DefaultParagraphFont"/>
    <w:link w:val="CommentText"/>
    <w:uiPriority w:val="99"/>
    <w:semiHidden/>
    <w:rsid w:val="002803D7"/>
  </w:style>
  <w:style w:type="paragraph" w:styleId="CommentSubject">
    <w:name w:val="annotation subject"/>
    <w:basedOn w:val="CommentText"/>
    <w:next w:val="CommentText"/>
    <w:link w:val="CommentSubjectChar"/>
    <w:uiPriority w:val="99"/>
    <w:semiHidden/>
    <w:unhideWhenUsed/>
    <w:rsid w:val="002803D7"/>
    <w:rPr>
      <w:b/>
      <w:bCs/>
    </w:rPr>
  </w:style>
  <w:style w:type="character" w:customStyle="1" w:styleId="CommentSubjectChar">
    <w:name w:val="Comment Subject Char"/>
    <w:basedOn w:val="CommentTextChar"/>
    <w:link w:val="CommentSubject"/>
    <w:uiPriority w:val="99"/>
    <w:semiHidden/>
    <w:rsid w:val="00280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5334-B3CB-458A-B540-63B662A0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701</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4694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Karolina Malgorzata Nowak nowakkar</cp:lastModifiedBy>
  <cp:revision>4</cp:revision>
  <dcterms:created xsi:type="dcterms:W3CDTF">2015-04-30T14:06:00Z</dcterms:created>
  <dcterms:modified xsi:type="dcterms:W3CDTF">2015-04-30T14:08:00Z</dcterms:modified>
</cp:coreProperties>
</file>