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EC" w:rsidRPr="00476CC4" w:rsidRDefault="00D47E3A" w:rsidP="007E758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de-DE"/>
        </w:rPr>
      </w:pPr>
      <w:r>
        <w:rPr>
          <w:rFonts w:ascii="Arial" w:eastAsia="Times New Roman" w:hAnsi="Arial" w:cs="Arial"/>
          <w:sz w:val="28"/>
          <w:szCs w:val="28"/>
          <w:lang w:val="en-US" w:eastAsia="de-DE"/>
        </w:rPr>
        <w:t xml:space="preserve">A novel GC-MS-method for the determination of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de-DE"/>
        </w:rPr>
        <w:t>metformin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de-DE"/>
        </w:rPr>
        <w:t xml:space="preserve"> in water samples</w:t>
      </w:r>
      <w:r w:rsidR="009C0F6D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</w:p>
    <w:p w:rsidR="005B1EEC" w:rsidRPr="00476CC4" w:rsidRDefault="005B1EEC" w:rsidP="007E758A">
      <w:pPr>
        <w:spacing w:after="0" w:line="360" w:lineRule="auto"/>
        <w:jc w:val="both"/>
        <w:rPr>
          <w:rFonts w:ascii="Arial" w:eastAsia="Times New Roman" w:hAnsi="Arial" w:cs="Arial"/>
          <w:smallCaps/>
          <w:sz w:val="24"/>
          <w:szCs w:val="24"/>
          <w:lang w:val="en-US" w:eastAsia="de-DE"/>
        </w:rPr>
      </w:pPr>
      <w:r w:rsidRPr="00476CC4">
        <w:rPr>
          <w:rFonts w:ascii="Arial" w:eastAsia="Times New Roman" w:hAnsi="Arial" w:cs="Arial"/>
          <w:smallCaps/>
          <w:sz w:val="24"/>
          <w:szCs w:val="24"/>
          <w:u w:val="single"/>
          <w:lang w:val="en-US" w:eastAsia="de-DE"/>
        </w:rPr>
        <w:t>Caroline Goedecke</w:t>
      </w:r>
      <w:r w:rsidRPr="00476CC4">
        <w:rPr>
          <w:rFonts w:ascii="Arial" w:eastAsia="Times New Roman" w:hAnsi="Arial" w:cs="Arial"/>
          <w:smallCaps/>
          <w:sz w:val="24"/>
          <w:szCs w:val="24"/>
          <w:lang w:val="en-US" w:eastAsia="de-DE"/>
        </w:rPr>
        <w:t>, Ina Fettig and Christian Piechotta</w:t>
      </w:r>
    </w:p>
    <w:p w:rsidR="005B1EEC" w:rsidRPr="00CF0B21" w:rsidRDefault="005B1EEC" w:rsidP="003724EB">
      <w:pPr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CF0B21">
        <w:rPr>
          <w:rFonts w:ascii="Arial" w:eastAsia="Times New Roman" w:hAnsi="Arial" w:cs="Arial"/>
          <w:sz w:val="18"/>
          <w:szCs w:val="18"/>
          <w:lang w:val="en-US" w:eastAsia="de-DE"/>
        </w:rPr>
        <w:t xml:space="preserve">BAM, Federal Institute for Materials Research and Testing, FB </w:t>
      </w:r>
      <w:r w:rsidR="005418CC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1.8 Umweltanalytik-Chromatographische Verfahren</w:t>
      </w:r>
      <w:r w:rsidRPr="00CF0B21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,</w:t>
      </w:r>
      <w:r w:rsidR="00AA6D3B" w:rsidRPr="00CF0B21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 xml:space="preserve"> </w:t>
      </w:r>
      <w:r w:rsidRPr="00CF0B21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Richard-Willst</w:t>
      </w:r>
      <w:r w:rsidR="005418CC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ä</w:t>
      </w:r>
      <w:r w:rsidRPr="00CF0B21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tter-Str. 11, 12489 Berlin</w:t>
      </w:r>
      <w:r w:rsidR="00AA6D3B" w:rsidRPr="00CF0B21">
        <w:rPr>
          <w:rFonts w:ascii="Arial" w:eastAsiaTheme="minorEastAsia" w:hAnsi="Arial" w:cs="Arial"/>
          <w:noProof/>
          <w:color w:val="000000" w:themeColor="text1"/>
          <w:sz w:val="18"/>
          <w:szCs w:val="18"/>
          <w:lang w:val="en-US"/>
        </w:rPr>
        <w:t>, caroline.goedecke@bam.de</w:t>
      </w:r>
    </w:p>
    <w:p w:rsidR="005B1EEC" w:rsidRDefault="005B1EEC" w:rsidP="007E758A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</w:p>
    <w:p w:rsidR="00BF6F96" w:rsidRPr="00EB5633" w:rsidRDefault="00BF6F96" w:rsidP="00EB5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For years </w:t>
      </w:r>
      <w:r w:rsidR="000365F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there have been more and more reports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on the presence of drugs in the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aquatic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environment. Due to the demographic 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>change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, the consumption of pharmaceuticals has risen sharply. After taking the drugs, they are 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partly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metabolized in the human body.</w:t>
      </w:r>
    </w:p>
    <w:p w:rsidR="00941B95" w:rsidRPr="00EB5633" w:rsidRDefault="00D1448F" w:rsidP="00EB563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However, the metabolism </w:t>
      </w:r>
      <w:r w:rsidR="000365F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is not complete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so that both the metabolites and </w:t>
      </w:r>
      <w:r w:rsidR="003B20A3">
        <w:rPr>
          <w:rFonts w:ascii="Arial" w:eastAsia="Times New Roman" w:hAnsi="Arial" w:cs="Arial"/>
          <w:sz w:val="20"/>
          <w:szCs w:val="20"/>
          <w:lang w:val="en-US" w:eastAsia="de-DE"/>
        </w:rPr>
        <w:t>non-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metabolized amounts of the parent compounds are excreted. These 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compounds reach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the waste water and 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afterwards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the sewage treatment plants. In sewage treatment plants transformation products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can be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formed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>by the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oxidative conditions during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>wastewater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treatment processes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>.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The transformation products may have a higher toxicity than the actual environmental pollutants and are often only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>partly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removed during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the </w:t>
      </w:r>
      <w:r w:rsidR="00E040C4">
        <w:rPr>
          <w:rFonts w:ascii="Arial" w:eastAsia="Times New Roman" w:hAnsi="Arial" w:cs="Arial"/>
          <w:sz w:val="20"/>
          <w:szCs w:val="20"/>
          <w:lang w:val="en-US" w:eastAsia="de-DE"/>
        </w:rPr>
        <w:t xml:space="preserve">waste water 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treatment. Since </w:t>
      </w:r>
      <w:r w:rsidR="00C44C3C" w:rsidRPr="00EB5633">
        <w:rPr>
          <w:rFonts w:ascii="Arial" w:eastAsia="Times New Roman" w:hAnsi="Arial" w:cs="Arial"/>
          <w:sz w:val="20"/>
          <w:szCs w:val="20"/>
          <w:lang w:val="en-US" w:eastAsia="de-DE"/>
        </w:rPr>
        <w:t>a lot of these compounds are still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unknown, the transformation p</w:t>
      </w:r>
      <w:r w:rsidR="003D3BAB">
        <w:rPr>
          <w:rFonts w:ascii="Arial" w:eastAsia="Times New Roman" w:hAnsi="Arial" w:cs="Arial"/>
          <w:sz w:val="20"/>
          <w:szCs w:val="20"/>
          <w:lang w:val="en-US" w:eastAsia="de-DE"/>
        </w:rPr>
        <w:t xml:space="preserve">roducts are not detected by 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target analysis used in sewage treatment plants and </w:t>
      </w:r>
      <w:r w:rsidR="00CE1BD5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are 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often </w:t>
      </w:r>
      <w:r w:rsidR="00CE1BD5">
        <w:rPr>
          <w:rFonts w:ascii="Arial" w:eastAsia="Times New Roman" w:hAnsi="Arial" w:cs="Arial"/>
          <w:sz w:val="20"/>
          <w:szCs w:val="20"/>
          <w:lang w:val="en-US" w:eastAsia="de-DE"/>
        </w:rPr>
        <w:t>released</w:t>
      </w:r>
      <w:r w:rsidR="0041147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undetected in</w:t>
      </w:r>
      <w:r w:rsidR="00E04D0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the aquatic ecosystems.</w:t>
      </w:r>
      <w:r w:rsidR="007467B7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Other sources of exposure of pharmaceuticals in the environment </w:t>
      </w:r>
      <w:r w:rsidR="004B4CB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come from their release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during the production process </w:t>
      </w:r>
      <w:r w:rsidR="00CF2448" w:rsidRPr="00EB5633">
        <w:rPr>
          <w:rFonts w:ascii="Arial" w:eastAsia="Times New Roman" w:hAnsi="Arial" w:cs="Arial"/>
          <w:sz w:val="20"/>
          <w:szCs w:val="20"/>
          <w:lang w:val="en-US" w:eastAsia="de-DE"/>
        </w:rPr>
        <w:t>(</w:t>
      </w:r>
      <w:r w:rsidR="000D6BB3" w:rsidRPr="00EB5633">
        <w:rPr>
          <w:rFonts w:ascii="Arial" w:eastAsia="Times New Roman" w:hAnsi="Arial" w:cs="Arial"/>
          <w:sz w:val="20"/>
          <w:szCs w:val="20"/>
          <w:lang w:val="en-US" w:eastAsia="de-DE"/>
        </w:rPr>
        <w:t>especially</w:t>
      </w:r>
      <w:r w:rsidR="00CF244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CD3EA4" w:rsidRPr="00EB5633">
        <w:rPr>
          <w:rFonts w:ascii="Arial" w:eastAsia="Times New Roman" w:hAnsi="Arial" w:cs="Arial"/>
          <w:sz w:val="20"/>
          <w:szCs w:val="20"/>
          <w:lang w:val="en-US" w:eastAsia="de-DE"/>
        </w:rPr>
        <w:t>in the past</w:t>
      </w:r>
      <w:r w:rsidR="00CF2448" w:rsidRPr="00EB5633">
        <w:rPr>
          <w:rFonts w:ascii="Arial" w:eastAsia="Times New Roman" w:hAnsi="Arial" w:cs="Arial"/>
          <w:sz w:val="20"/>
          <w:szCs w:val="20"/>
          <w:lang w:val="en-US" w:eastAsia="de-DE"/>
        </w:rPr>
        <w:t>)</w:t>
      </w:r>
      <w:r w:rsidR="00CD3EA4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,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and </w:t>
      </w:r>
      <w:r w:rsidR="0061565D" w:rsidRPr="00EB5633">
        <w:rPr>
          <w:rFonts w:ascii="Arial" w:eastAsia="Times New Roman" w:hAnsi="Arial" w:cs="Arial"/>
          <w:sz w:val="20"/>
          <w:szCs w:val="20"/>
          <w:lang w:val="en-US" w:eastAsia="de-DE"/>
        </w:rPr>
        <w:t>their incorrect</w:t>
      </w:r>
      <w:r w:rsidR="0009233A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disposal.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begin"/>
      </w:r>
      <w:r w:rsidR="000842CF" w:rsidRPr="00EB5633">
        <w:rPr>
          <w:rFonts w:ascii="Arial" w:eastAsia="Times New Roman" w:hAnsi="Arial" w:cs="Arial"/>
          <w:sz w:val="20"/>
          <w:szCs w:val="20"/>
          <w:lang w:val="en-US" w:eastAsia="de-DE"/>
        </w:rPr>
        <w:instrText xml:space="preserve"> ADDIN EN.CITE &lt;EndNote&gt;&lt;Cite&gt;&lt;Author&gt;Heberer&lt;/Author&gt;&lt;Year&gt;2002&lt;/Year&gt;&lt;RecNum&gt;152&lt;/RecNum&gt;&lt;DisplayText&gt;&lt;style face="superscript"&gt;[1]&lt;/style&gt;&lt;/DisplayText&gt;&lt;record&gt;&lt;rec-number&gt;152&lt;/rec-number&gt;&lt;foreign-keys&gt;&lt;key app="EN" db-id="20av9ezptxr2rieat27xtwt0watpps9rexs9"&gt;152&lt;/key&gt;&lt;/foreign-keys&gt;&lt;ref-type name="Journal Article"&gt;17&lt;/ref-type&gt;&lt;contributors&gt;&lt;authors&gt;&lt;author&gt;Heberer, T.&lt;/author&gt;&lt;/authors&gt;&lt;/contributors&gt;&lt;titles&gt;&lt;title&gt;Occurrence, fate, and removal of pharmaceutical residues in the aquatic environment: a review of recent research data&lt;/title&gt;&lt;secondary-title&gt;Toxicology Letters&lt;/secondary-title&gt;&lt;/titles&gt;&lt;periodical&gt;&lt;full-title&gt;Toxicology Letters&lt;/full-title&gt;&lt;/periodical&gt;&lt;pages&gt;5-17&lt;/pages&gt;&lt;volume&gt;131&lt;/volume&gt;&lt;dates&gt;&lt;year&gt;2002&lt;/year&gt;&lt;/dates&gt;&lt;urls&gt;&lt;/urls&gt;&lt;/record&gt;&lt;/Cite&gt;&lt;/EndNote&gt;</w:instrTex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separate"/>
      </w:r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[</w:t>
      </w:r>
      <w:hyperlink w:anchor="_ENREF_1" w:tooltip="Heberer, 2002 #152" w:history="1">
        <w:r w:rsidR="00BE0067" w:rsidRPr="00EB5633">
          <w:rPr>
            <w:rFonts w:ascii="Arial" w:eastAsia="Times New Roman" w:hAnsi="Arial" w:cs="Arial"/>
            <w:noProof/>
            <w:sz w:val="20"/>
            <w:szCs w:val="20"/>
            <w:vertAlign w:val="superscript"/>
            <w:lang w:val="en-US" w:eastAsia="de-DE"/>
          </w:rPr>
          <w:t>1</w:t>
        </w:r>
      </w:hyperlink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]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end"/>
      </w:r>
      <w:r w:rsidR="0009233A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he</w:t>
      </w:r>
      <w:r w:rsidR="00D501C8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released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substances may be subject to additional transformation processes</w:t>
      </w:r>
      <w:r w:rsidR="0009233A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in the environment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</w:t>
      </w:r>
      <w:r w:rsidR="0040332E">
        <w:rPr>
          <w:rFonts w:ascii="Arial" w:eastAsia="Times New Roman" w:hAnsi="Arial" w:cs="Arial"/>
          <w:sz w:val="20"/>
          <w:szCs w:val="20"/>
          <w:lang w:val="en-US" w:eastAsia="de-DE"/>
        </w:rPr>
        <w:t>P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harmaceuticals</w:t>
      </w:r>
      <w:r w:rsidR="00D567FA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40332E">
        <w:rPr>
          <w:rFonts w:ascii="Arial" w:eastAsia="Times New Roman" w:hAnsi="Arial" w:cs="Arial"/>
          <w:sz w:val="20"/>
          <w:szCs w:val="20"/>
          <w:lang w:val="en-US" w:eastAsia="de-DE"/>
        </w:rPr>
        <w:t xml:space="preserve">produced in high amounts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can be </w:t>
      </w:r>
      <w:r w:rsidR="0009233A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already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detected in </w:t>
      </w:r>
      <w:r w:rsidR="0021514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the µg/</w:t>
      </w:r>
      <w:r w:rsidR="002459E4" w:rsidRPr="00EB5633">
        <w:rPr>
          <w:rFonts w:ascii="Arial" w:eastAsia="Times New Roman" w:hAnsi="Arial" w:cs="Arial"/>
          <w:sz w:val="20"/>
          <w:szCs w:val="20"/>
          <w:lang w:val="en-US" w:eastAsia="de-DE"/>
        </w:rPr>
        <w:t>L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range in water</w:t>
      </w:r>
      <w:r w:rsidR="007467B7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bodies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8A5920">
        <w:rPr>
          <w:rFonts w:ascii="Arial" w:eastAsia="Times New Roman" w:hAnsi="Arial" w:cs="Arial"/>
          <w:sz w:val="20"/>
          <w:szCs w:val="20"/>
          <w:lang w:val="en-US" w:eastAsia="de-DE"/>
        </w:rPr>
        <w:t>worldwide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. More than half of the total </w:t>
      </w:r>
      <w:r w:rsidR="0021514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amount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</w:t>
      </w:r>
      <w:r w:rsidR="007467B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f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pharmaceuticals in the environment </w:t>
      </w:r>
      <w:r w:rsidR="0021514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are</w:t>
      </w:r>
      <w:r w:rsidR="00D77410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the </w:t>
      </w:r>
      <w:proofErr w:type="spellStart"/>
      <w:r w:rsidR="00D77410" w:rsidRPr="00EB5633">
        <w:rPr>
          <w:rFonts w:ascii="Arial" w:eastAsia="Times New Roman" w:hAnsi="Arial" w:cs="Arial"/>
          <w:sz w:val="20"/>
          <w:szCs w:val="20"/>
          <w:lang w:val="en-US" w:eastAsia="de-DE"/>
        </w:rPr>
        <w:t>antidiabetic</w:t>
      </w:r>
      <w:proofErr w:type="spellEnd"/>
      <w:r w:rsidR="00D77410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agent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its major transformation product </w:t>
      </w:r>
      <w:proofErr w:type="spellStart"/>
      <w:r w:rsidR="00926426">
        <w:rPr>
          <w:rFonts w:ascii="Arial" w:eastAsia="Times New Roman" w:hAnsi="Arial" w:cs="Arial"/>
          <w:sz w:val="20"/>
          <w:szCs w:val="20"/>
          <w:lang w:val="en-US" w:eastAsia="de-DE"/>
        </w:rPr>
        <w:t>g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uanylurea</w:t>
      </w:r>
      <w:proofErr w:type="spellEnd"/>
      <w:r w:rsidR="007467B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.</w:t>
      </w:r>
      <w:r w:rsidR="009C6FBD" w:rsidRPr="00EB5633">
        <w:rPr>
          <w:rFonts w:ascii="Arial" w:hAnsi="Arial" w:cs="Arial"/>
          <w:sz w:val="20"/>
          <w:szCs w:val="20"/>
          <w:vertAlign w:val="superscript"/>
          <w:lang w:val="en-US"/>
        </w:rPr>
        <w:fldChar w:fldCharType="begin"/>
      </w:r>
      <w:r w:rsidR="000842CF" w:rsidRPr="00EB5633">
        <w:rPr>
          <w:rFonts w:ascii="Arial" w:hAnsi="Arial" w:cs="Arial"/>
          <w:sz w:val="20"/>
          <w:szCs w:val="20"/>
          <w:vertAlign w:val="superscript"/>
          <w:lang w:val="en-US"/>
        </w:rPr>
        <w:instrText xml:space="preserve"> ADDIN EN.CITE &lt;EndNote&gt;&lt;Cite&gt;&lt;Author&gt;ter laak&lt;/Author&gt;&lt;Year&gt;2014&lt;/Year&gt;&lt;RecNum&gt;150&lt;/RecNum&gt;&lt;DisplayText&gt;&lt;style face="superscript"&gt;[2]&lt;/style&gt;&lt;/DisplayText&gt;&lt;record&gt;&lt;rec-number&gt;150&lt;/rec-number&gt;&lt;foreign-keys&gt;&lt;key app="EN" db-id="20av9ezptxr2rieat27xtwt0watpps9rexs9"&gt;150&lt;/key&gt;&lt;/foreign-keys&gt;&lt;ref-type name="Journal Article"&gt;17&lt;/ref-type&gt;&lt;contributors&gt;&lt;authors&gt;&lt;author&gt;ter laak, T.&lt;/author&gt;&lt;author&gt;Baken, K.&lt;/author&gt;&lt;/authors&gt;&lt;/contributors&gt;&lt;titles&gt;&lt;title&gt;The occurrence, fate and ecological and human health risks of metformin and guanylurea in the water cycle - A literature review&lt;/title&gt;&lt;secondary-title&gt;Water Research Institute&lt;/secondary-title&gt;&lt;/titles&gt;&lt;periodical&gt;&lt;full-title&gt;Water Research Institute&lt;/full-title&gt;&lt;/periodical&gt;&lt;dates&gt;&lt;year&gt;2014&lt;/year&gt;&lt;/dates&gt;&lt;urls&gt;&lt;/urls&gt;&lt;/record&gt;&lt;/Cite&gt;&lt;/EndNote&gt;</w:instrText>
      </w:r>
      <w:r w:rsidR="009C6FBD" w:rsidRPr="00EB5633">
        <w:rPr>
          <w:rFonts w:ascii="Arial" w:hAnsi="Arial" w:cs="Arial"/>
          <w:sz w:val="20"/>
          <w:szCs w:val="20"/>
          <w:vertAlign w:val="superscript"/>
          <w:lang w:val="en-US"/>
        </w:rPr>
        <w:fldChar w:fldCharType="separate"/>
      </w:r>
      <w:r w:rsidR="000842CF" w:rsidRPr="00EB5633">
        <w:rPr>
          <w:rFonts w:ascii="Arial" w:hAnsi="Arial" w:cs="Arial"/>
          <w:noProof/>
          <w:sz w:val="20"/>
          <w:szCs w:val="20"/>
          <w:vertAlign w:val="superscript"/>
          <w:lang w:val="en-US"/>
        </w:rPr>
        <w:t>[</w:t>
      </w:r>
      <w:hyperlink w:anchor="_ENREF_2" w:tooltip="ter laak, 2014 #150" w:history="1">
        <w:r w:rsidR="00BE0067" w:rsidRPr="00EB5633">
          <w:rPr>
            <w:rFonts w:ascii="Arial" w:hAnsi="Arial" w:cs="Arial"/>
            <w:noProof/>
            <w:sz w:val="20"/>
            <w:szCs w:val="20"/>
            <w:vertAlign w:val="superscript"/>
            <w:lang w:val="en-US"/>
          </w:rPr>
          <w:t>2</w:t>
        </w:r>
      </w:hyperlink>
      <w:r w:rsidR="000842CF" w:rsidRPr="00EB5633">
        <w:rPr>
          <w:rFonts w:ascii="Arial" w:hAnsi="Arial" w:cs="Arial"/>
          <w:noProof/>
          <w:sz w:val="20"/>
          <w:szCs w:val="20"/>
          <w:vertAlign w:val="superscript"/>
          <w:lang w:val="en-US"/>
        </w:rPr>
        <w:t>]</w:t>
      </w:r>
      <w:r w:rsidR="009C6FBD" w:rsidRPr="00EB5633">
        <w:rPr>
          <w:rFonts w:ascii="Arial" w:hAnsi="Arial" w:cs="Arial"/>
          <w:sz w:val="20"/>
          <w:szCs w:val="20"/>
          <w:vertAlign w:val="superscript"/>
          <w:lang w:val="en-US"/>
        </w:rPr>
        <w:fldChar w:fldCharType="end"/>
      </w:r>
      <w:r w:rsidR="000842CF" w:rsidRPr="00EB5633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is the drug of choice for treating type 2 diabetes. The drug therapy </w:t>
      </w:r>
      <w:r w:rsidR="00215147" w:rsidRPr="00EB5633">
        <w:rPr>
          <w:rFonts w:ascii="Arial" w:eastAsia="Times New Roman" w:hAnsi="Arial" w:cs="Arial"/>
          <w:sz w:val="20"/>
          <w:szCs w:val="20"/>
          <w:lang w:val="en-US" w:eastAsia="de-DE"/>
        </w:rPr>
        <w:t>for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diabetes mellitus has increased significantly in recent years.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causes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 increased glucose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in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take and a decrease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in the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gluconeogenesis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glucose output. In the year 2013 598 million </w:t>
      </w:r>
      <w:r w:rsidR="00941B95" w:rsidRPr="00EB5633">
        <w:rPr>
          <w:rFonts w:ascii="Arial" w:hAnsi="Arial" w:cs="Arial"/>
          <w:iCs/>
          <w:sz w:val="20"/>
          <w:szCs w:val="20"/>
          <w:lang w:val="en-US"/>
        </w:rPr>
        <w:t>defined daily doses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of </w:t>
      </w:r>
      <w:proofErr w:type="spellStart"/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</w:t>
      </w:r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etformin</w:t>
      </w:r>
      <w:proofErr w:type="spellEnd"/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were prescribed in Germany</w:t>
      </w:r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.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begin"/>
      </w:r>
      <w:r w:rsidR="00BE0067" w:rsidRPr="00EB5633">
        <w:rPr>
          <w:rFonts w:ascii="Arial" w:eastAsia="Times New Roman" w:hAnsi="Arial" w:cs="Arial"/>
          <w:sz w:val="20"/>
          <w:szCs w:val="20"/>
          <w:lang w:val="en-US" w:eastAsia="de-DE"/>
        </w:rPr>
        <w:instrText xml:space="preserve"> ADDIN EN.CITE &lt;EndNote&gt;&lt;Cite&gt;&lt;Author&gt;Schwabe&lt;/Author&gt;&lt;RecNum&gt;151&lt;/RecNum&gt;&lt;DisplayText&gt;&lt;style face="superscript"&gt;[3]&lt;/style&gt;&lt;/DisplayText&gt;&lt;record&gt;&lt;rec-number&gt;151&lt;/rec-number&gt;&lt;foreign-keys&gt;&lt;key app="EN" db-id="20av9ezptxr2rieat27xtwt0watpps9rexs9"&gt;151&lt;/key&gt;&lt;/foreign-keys&gt;&lt;ref-type name="Journal Article"&gt;17&lt;/ref-type&gt;&lt;contributors&gt;&lt;authors&gt;&lt;author&gt;Schwabe, U.&lt;/author&gt;&lt;author&gt;Paffrath, D. (Hrsg.)&lt;/author&gt;&lt;/authors&gt;&lt;/contributors&gt;&lt;titles&gt;&lt;title&gt;© Springer-Verlag Berlin Heidelberg, 2014.&lt;/title&gt;&lt;secondary-title&gt;Arzneiverordnungs-Report DOI 10.1007/978-3-642-43487-1_11&amp;#xD;&lt;/secondary-title&gt;&lt;/titles&gt;&lt;dates&gt;&lt;/dates&gt;&lt;urls&gt;&lt;/urls&gt;&lt;/record&gt;&lt;/Cite&gt;&lt;/EndNote&gt;</w:instrTex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separate"/>
      </w:r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[</w:t>
      </w:r>
      <w:hyperlink w:anchor="_ENREF_3" w:tooltip="Schwabe,  #151" w:history="1">
        <w:r w:rsidR="00BE0067" w:rsidRPr="00EB5633">
          <w:rPr>
            <w:rFonts w:ascii="Arial" w:eastAsia="Times New Roman" w:hAnsi="Arial" w:cs="Arial"/>
            <w:noProof/>
            <w:sz w:val="20"/>
            <w:szCs w:val="20"/>
            <w:vertAlign w:val="superscript"/>
            <w:lang w:val="en-US" w:eastAsia="de-DE"/>
          </w:rPr>
          <w:t>3</w:t>
        </w:r>
      </w:hyperlink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]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end"/>
      </w:r>
      <w:r w:rsidR="000842C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Many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questions about the behavior of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in the environment and during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the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water treatment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have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not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>yet been sufficiently clarified and t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he long-term consequences for </w:t>
      </w:r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humans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the environment have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also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not been adequately studied. First indications are that </w:t>
      </w:r>
      <w:proofErr w:type="spellStart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could potentially act as </w:t>
      </w:r>
      <w:r w:rsidR="00B26781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an </w:t>
      </w:r>
      <w:r w:rsidR="00E8087F" w:rsidRPr="00EB5633">
        <w:rPr>
          <w:rFonts w:ascii="Arial" w:eastAsia="Times New Roman" w:hAnsi="Arial" w:cs="Arial"/>
          <w:sz w:val="20"/>
          <w:szCs w:val="20"/>
          <w:lang w:val="en-US" w:eastAsia="de-DE"/>
        </w:rPr>
        <w:t>endocrine disruptor in male fish under chronic exposure</w:t>
      </w:r>
      <w:r w:rsidR="00941B95" w:rsidRPr="00EB5633">
        <w:rPr>
          <w:rFonts w:ascii="Arial" w:eastAsia="Times New Roman" w:hAnsi="Arial" w:cs="Arial"/>
          <w:sz w:val="20"/>
          <w:szCs w:val="20"/>
          <w:lang w:val="en-US" w:eastAsia="de-DE"/>
        </w:rPr>
        <w:t>.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begin"/>
      </w:r>
      <w:r w:rsidR="000842CF" w:rsidRPr="00EB5633">
        <w:rPr>
          <w:rFonts w:ascii="Arial" w:eastAsia="Times New Roman" w:hAnsi="Arial" w:cs="Arial"/>
          <w:sz w:val="20"/>
          <w:szCs w:val="20"/>
          <w:lang w:val="en-US" w:eastAsia="de-DE"/>
        </w:rPr>
        <w:instrText xml:space="preserve"> ADDIN EN.CITE &lt;EndNote&gt;&lt;Cite&gt;&lt;Author&gt;Niemuth&lt;/Author&gt;&lt;Year&gt;2015&lt;/Year&gt;&lt;RecNum&gt;153&lt;/RecNum&gt;&lt;DisplayText&gt;&lt;style face="superscript"&gt;[4]&lt;/style&gt;&lt;/DisplayText&gt;&lt;record&gt;&lt;rec-number&gt;153&lt;/rec-number&gt;&lt;foreign-keys&gt;&lt;key app="EN" db-id="20av9ezptxr2rieat27xtwt0watpps9rexs9"&gt;153&lt;/key&gt;&lt;/foreign-keys&gt;&lt;ref-type name="Journal Article"&gt;17&lt;/ref-type&gt;&lt;contributors&gt;&lt;authors&gt;&lt;author&gt;Niemuth, N. J.&lt;/author&gt;&lt;author&gt;Jordan, R.&lt;/author&gt;&lt;author&gt;Crago, J.&lt;/author&gt;&lt;author&gt;Blanksma, C.&lt;/author&gt;&lt;author&gt;Johnson, R.&lt;/author&gt;&lt;author&gt;Klaper, R. D.&lt;/author&gt;&lt;/authors&gt;&lt;/contributors&gt;&lt;auth-address&gt;School of Freshwater Sciences, University of Wisconsin-Milwaukee, Milwaukee, Wisconsin, USA.&lt;/auth-address&gt;&lt;titles&gt;&lt;title&gt;Metformin exposure at environmentally relevant concentrations causes potential endocrine disruption in adult male fish&lt;/title&gt;&lt;secondary-title&gt;Environ Toxicol Chem&lt;/secondary-title&gt;&lt;alt-title&gt;Environmental toxicology and chemistry / SETAC&lt;/alt-title&gt;&lt;/titles&gt;&lt;periodical&gt;&lt;full-title&gt;Environ Toxicol Chem&lt;/full-title&gt;&lt;abbr-1&gt;Environmental toxicology and chemistry / SETAC&lt;/abbr-1&gt;&lt;/periodical&gt;&lt;alt-periodical&gt;&lt;full-title&gt;Environ Toxicol Chem&lt;/full-title&gt;&lt;abbr-1&gt;Environmental toxicology and chemistry / SETAC&lt;/abbr-1&gt;&lt;/alt-periodical&gt;&lt;pages&gt;291-6&lt;/pages&gt;&lt;volume&gt;34&lt;/volume&gt;&lt;number&gt;2&lt;/number&gt;&lt;edition&gt;2014/11/02&lt;/edition&gt;&lt;dates&gt;&lt;year&gt;2015&lt;/year&gt;&lt;pub-dates&gt;&lt;date&gt;Feb&lt;/date&gt;&lt;/pub-dates&gt;&lt;/dates&gt;&lt;isbn&gt;1552-8618 (Electronic)&amp;#xD;0730-7268 (Linking)&lt;/isbn&gt;&lt;accession-num&gt;25358780&lt;/accession-num&gt;&lt;work-type&gt;Research Support, Non-U.S. Gov&amp;apos;t&lt;/work-type&gt;&lt;urls&gt;&lt;related-urls&gt;&lt;url&gt;http://www.ncbi.nlm.nih.gov/pubmed/25358780&lt;/url&gt;&lt;/related-urls&gt;&lt;/urls&gt;&lt;custom2&gt;4329414&lt;/custom2&gt;&lt;electronic-resource-num&gt;10.1002/etc.2793&lt;/electronic-resource-num&gt;&lt;language&gt;eng&lt;/language&gt;&lt;/record&gt;&lt;/Cite&gt;&lt;/EndNote&gt;</w:instrTex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separate"/>
      </w:r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[</w:t>
      </w:r>
      <w:hyperlink w:anchor="_ENREF_4" w:tooltip="Niemuth, 2015 #153" w:history="1">
        <w:r w:rsidR="00BE0067" w:rsidRPr="00EB5633">
          <w:rPr>
            <w:rFonts w:ascii="Arial" w:eastAsia="Times New Roman" w:hAnsi="Arial" w:cs="Arial"/>
            <w:noProof/>
            <w:sz w:val="20"/>
            <w:szCs w:val="20"/>
            <w:vertAlign w:val="superscript"/>
            <w:lang w:val="en-US" w:eastAsia="de-DE"/>
          </w:rPr>
          <w:t>4</w:t>
        </w:r>
      </w:hyperlink>
      <w:r w:rsidR="000842CF" w:rsidRPr="00EB5633">
        <w:rPr>
          <w:rFonts w:ascii="Arial" w:eastAsia="Times New Roman" w:hAnsi="Arial" w:cs="Arial"/>
          <w:noProof/>
          <w:sz w:val="20"/>
          <w:szCs w:val="20"/>
          <w:vertAlign w:val="superscript"/>
          <w:lang w:val="en-US" w:eastAsia="de-DE"/>
        </w:rPr>
        <w:t>]</w:t>
      </w:r>
      <w:r w:rsidR="009C6FBD" w:rsidRPr="00EB5633">
        <w:rPr>
          <w:rFonts w:ascii="Arial" w:eastAsia="Times New Roman" w:hAnsi="Arial" w:cs="Arial"/>
          <w:sz w:val="20"/>
          <w:szCs w:val="20"/>
          <w:lang w:val="en-US" w:eastAsia="de-DE"/>
        </w:rPr>
        <w:fldChar w:fldCharType="end"/>
      </w:r>
    </w:p>
    <w:p w:rsidR="000842CF" w:rsidRPr="00EB5633" w:rsidRDefault="00E8087F" w:rsidP="00EB5633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For the </w:t>
      </w:r>
      <w:r w:rsidR="00BD6689">
        <w:rPr>
          <w:rFonts w:ascii="Arial" w:eastAsia="Times New Roman" w:hAnsi="Arial" w:cs="Arial"/>
          <w:sz w:val="20"/>
          <w:szCs w:val="20"/>
          <w:lang w:val="en-US" w:eastAsia="de-DE"/>
        </w:rPr>
        <w:t>analysis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of </w:t>
      </w:r>
      <w:proofErr w:type="spellStart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</w:t>
      </w:r>
      <w:r w:rsidR="00DE1F2D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the </w:t>
      </w:r>
      <w:r w:rsidR="00112EF9" w:rsidRPr="00EB5633">
        <w:rPr>
          <w:rFonts w:ascii="Arial" w:eastAsia="Times New Roman" w:hAnsi="Arial" w:cs="Arial"/>
          <w:sz w:val="20"/>
          <w:szCs w:val="20"/>
          <w:lang w:val="en-US" w:eastAsia="de-DE"/>
        </w:rPr>
        <w:t>potential emerging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unknown transformation products reliable analytical methods are required that allow </w:t>
      </w:r>
      <w:r w:rsidR="00EC3B64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both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 quantitative determination of </w:t>
      </w:r>
      <w:proofErr w:type="spellStart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in </w:t>
      </w:r>
      <w:r w:rsidR="00A702AB" w:rsidRPr="00EB5633">
        <w:rPr>
          <w:rFonts w:ascii="Arial" w:eastAsia="Times New Roman" w:hAnsi="Arial" w:cs="Arial"/>
          <w:sz w:val="20"/>
          <w:szCs w:val="20"/>
          <w:lang w:val="en-US" w:eastAsia="de-DE"/>
        </w:rPr>
        <w:t>the environment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</w:t>
      </w:r>
      <w:r w:rsidR="00EC3B64" w:rsidRPr="00EB5633">
        <w:rPr>
          <w:rFonts w:ascii="Arial" w:eastAsia="Times New Roman" w:hAnsi="Arial" w:cs="Arial"/>
          <w:sz w:val="20"/>
          <w:szCs w:val="20"/>
          <w:lang w:val="en-US" w:eastAsia="de-DE"/>
        </w:rPr>
        <w:t>a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structural </w:t>
      </w:r>
      <w:r w:rsidR="00112EF9" w:rsidRPr="00EB5633">
        <w:rPr>
          <w:rFonts w:ascii="Arial" w:eastAsia="Times New Roman" w:hAnsi="Arial" w:cs="Arial"/>
          <w:sz w:val="20"/>
          <w:szCs w:val="20"/>
          <w:lang w:val="en-US" w:eastAsia="de-DE"/>
        </w:rPr>
        <w:t>identification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of </w:t>
      </w:r>
      <w:r w:rsidR="00172EE7">
        <w:rPr>
          <w:rFonts w:ascii="Arial" w:eastAsia="Times New Roman" w:hAnsi="Arial" w:cs="Arial"/>
          <w:sz w:val="20"/>
          <w:szCs w:val="20"/>
          <w:lang w:val="en-US" w:eastAsia="de-DE"/>
        </w:rPr>
        <w:t>potential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transformation products. </w:t>
      </w:r>
      <w:r w:rsidR="00EC3B64" w:rsidRPr="00EB5633">
        <w:rPr>
          <w:rFonts w:ascii="Arial" w:eastAsia="Times New Roman" w:hAnsi="Arial" w:cs="Arial"/>
          <w:sz w:val="20"/>
          <w:szCs w:val="20"/>
          <w:lang w:val="en-US" w:eastAsia="de-DE"/>
        </w:rPr>
        <w:t>The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first results of a </w:t>
      </w:r>
      <w:r w:rsidR="00112EF9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novel 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GC-MS method </w:t>
      </w:r>
      <w:r w:rsidR="00EC3B64"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are presented </w:t>
      </w:r>
      <w:r w:rsidR="00B3363C">
        <w:rPr>
          <w:rFonts w:ascii="Arial" w:eastAsia="Times New Roman" w:hAnsi="Arial" w:cs="Arial"/>
          <w:sz w:val="20"/>
          <w:szCs w:val="20"/>
          <w:lang w:val="en-US" w:eastAsia="de-DE"/>
        </w:rPr>
        <w:t>which</w:t>
      </w:r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allows a quantitative analysis of </w:t>
      </w:r>
      <w:proofErr w:type="spellStart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>metformin</w:t>
      </w:r>
      <w:proofErr w:type="spellEnd"/>
      <w:r w:rsidRPr="00EB5633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from water samples.</w:t>
      </w:r>
    </w:p>
    <w:p w:rsidR="00BE0067" w:rsidRPr="00BE0067" w:rsidRDefault="009C6FBD" w:rsidP="002D106E">
      <w:pPr>
        <w:spacing w:after="0" w:line="240" w:lineRule="auto"/>
        <w:ind w:left="720" w:hanging="720"/>
        <w:jc w:val="both"/>
        <w:rPr>
          <w:rFonts w:ascii="Calibri" w:hAnsi="Calibri" w:cs="Arial"/>
          <w:noProof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 w:rsidR="000842CF">
        <w:rPr>
          <w:rFonts w:ascii="Arial" w:hAnsi="Arial" w:cs="Arial"/>
          <w:lang w:val="en-US"/>
        </w:rPr>
        <w:instrText xml:space="preserve"> ADDIN EN.REFLIST </w:instrText>
      </w:r>
      <w:r>
        <w:rPr>
          <w:rFonts w:ascii="Arial" w:hAnsi="Arial" w:cs="Arial"/>
          <w:lang w:val="en-US"/>
        </w:rPr>
        <w:fldChar w:fldCharType="separate"/>
      </w:r>
      <w:bookmarkStart w:id="0" w:name="_ENREF_1"/>
      <w:r w:rsidR="00BE0067" w:rsidRPr="00BE0067">
        <w:rPr>
          <w:rFonts w:ascii="Calibri" w:hAnsi="Calibri" w:cs="Arial"/>
          <w:noProof/>
          <w:lang w:val="en-US"/>
        </w:rPr>
        <w:t>[1]</w:t>
      </w:r>
      <w:r w:rsidR="00BE0067" w:rsidRPr="00BE0067">
        <w:rPr>
          <w:rFonts w:ascii="Calibri" w:hAnsi="Calibri" w:cs="Arial"/>
          <w:noProof/>
          <w:lang w:val="en-US"/>
        </w:rPr>
        <w:tab/>
        <w:t xml:space="preserve">T. Heberer, </w:t>
      </w:r>
      <w:r w:rsidR="00BE0067" w:rsidRPr="00BE0067">
        <w:rPr>
          <w:rFonts w:ascii="Calibri" w:hAnsi="Calibri" w:cs="Arial"/>
          <w:i/>
          <w:noProof/>
          <w:lang w:val="en-US"/>
        </w:rPr>
        <w:t>Toxicology Letters Occurrence, fate, and removal of pharmaceutical residues in the aquatic environment: a review of recent research data</w:t>
      </w:r>
      <w:r w:rsidR="00BE0067" w:rsidRPr="00BE0067">
        <w:rPr>
          <w:rFonts w:ascii="Calibri" w:hAnsi="Calibri" w:cs="Arial"/>
          <w:noProof/>
          <w:lang w:val="en-US"/>
        </w:rPr>
        <w:t xml:space="preserve">, </w:t>
      </w:r>
      <w:r w:rsidR="00BE0067" w:rsidRPr="00BE0067">
        <w:rPr>
          <w:rFonts w:ascii="Calibri" w:hAnsi="Calibri" w:cs="Arial"/>
          <w:i/>
          <w:noProof/>
          <w:lang w:val="en-US"/>
        </w:rPr>
        <w:t>131</w:t>
      </w:r>
      <w:r w:rsidR="00BE0067" w:rsidRPr="00BE0067">
        <w:rPr>
          <w:rFonts w:ascii="Calibri" w:hAnsi="Calibri" w:cs="Arial"/>
          <w:noProof/>
          <w:lang w:val="en-US"/>
        </w:rPr>
        <w:t>, 5-17</w:t>
      </w:r>
      <w:r w:rsidR="00BE0067" w:rsidRPr="00BE0067">
        <w:rPr>
          <w:rFonts w:ascii="Calibri" w:hAnsi="Calibri" w:cs="Arial"/>
          <w:i/>
          <w:noProof/>
          <w:lang w:val="en-US"/>
        </w:rPr>
        <w:t xml:space="preserve">, </w:t>
      </w:r>
      <w:r w:rsidR="00BE0067" w:rsidRPr="00BE0067">
        <w:rPr>
          <w:rFonts w:ascii="Calibri" w:hAnsi="Calibri" w:cs="Arial"/>
          <w:b/>
          <w:noProof/>
          <w:lang w:val="en-US"/>
        </w:rPr>
        <w:t>2002</w:t>
      </w:r>
      <w:r w:rsidR="00BE0067" w:rsidRPr="00BE0067">
        <w:rPr>
          <w:rFonts w:ascii="Calibri" w:hAnsi="Calibri" w:cs="Arial"/>
          <w:noProof/>
          <w:lang w:val="en-US"/>
        </w:rPr>
        <w:t>.</w:t>
      </w:r>
      <w:bookmarkEnd w:id="0"/>
    </w:p>
    <w:p w:rsidR="00BE0067" w:rsidRPr="00BE0067" w:rsidRDefault="00BE0067" w:rsidP="002D106E">
      <w:pPr>
        <w:spacing w:after="0" w:line="240" w:lineRule="auto"/>
        <w:ind w:left="720" w:hanging="720"/>
        <w:jc w:val="both"/>
        <w:rPr>
          <w:rFonts w:ascii="Calibri" w:hAnsi="Calibri" w:cs="Arial"/>
          <w:noProof/>
          <w:lang w:val="en-US"/>
        </w:rPr>
      </w:pPr>
      <w:bookmarkStart w:id="1" w:name="_ENREF_2"/>
      <w:r w:rsidRPr="00BE0067">
        <w:rPr>
          <w:rFonts w:ascii="Calibri" w:hAnsi="Calibri" w:cs="Arial"/>
          <w:noProof/>
          <w:lang w:val="en-US"/>
        </w:rPr>
        <w:t>[2]</w:t>
      </w:r>
      <w:r w:rsidRPr="00BE0067">
        <w:rPr>
          <w:rFonts w:ascii="Calibri" w:hAnsi="Calibri" w:cs="Arial"/>
          <w:noProof/>
          <w:lang w:val="en-US"/>
        </w:rPr>
        <w:tab/>
        <w:t xml:space="preserve">T. ter </w:t>
      </w:r>
      <w:r w:rsidR="00F33A79">
        <w:rPr>
          <w:rFonts w:ascii="Calibri" w:hAnsi="Calibri" w:cs="Arial"/>
          <w:noProof/>
          <w:lang w:val="en-US"/>
        </w:rPr>
        <w:t>L</w:t>
      </w:r>
      <w:r w:rsidRPr="00BE0067">
        <w:rPr>
          <w:rFonts w:ascii="Calibri" w:hAnsi="Calibri" w:cs="Arial"/>
          <w:noProof/>
          <w:lang w:val="en-US"/>
        </w:rPr>
        <w:t xml:space="preserve">aak, K. Baken, </w:t>
      </w:r>
      <w:r w:rsidRPr="00BE0067">
        <w:rPr>
          <w:rFonts w:ascii="Calibri" w:hAnsi="Calibri" w:cs="Arial"/>
          <w:i/>
          <w:noProof/>
          <w:lang w:val="en-US"/>
        </w:rPr>
        <w:t xml:space="preserve">Water Research Institute The occurrence, fate and ecological and human health risks of metformin and guanylurea in the water cycle - A literature review, </w:t>
      </w:r>
      <w:r w:rsidRPr="00BE0067">
        <w:rPr>
          <w:rFonts w:ascii="Calibri" w:hAnsi="Calibri" w:cs="Arial"/>
          <w:b/>
          <w:noProof/>
          <w:lang w:val="en-US"/>
        </w:rPr>
        <w:t>2014</w:t>
      </w:r>
      <w:r w:rsidRPr="00BE0067">
        <w:rPr>
          <w:rFonts w:ascii="Calibri" w:hAnsi="Calibri" w:cs="Arial"/>
          <w:noProof/>
          <w:lang w:val="en-US"/>
        </w:rPr>
        <w:t>.</w:t>
      </w:r>
      <w:bookmarkEnd w:id="1"/>
    </w:p>
    <w:p w:rsidR="002D106E" w:rsidRPr="005418CC" w:rsidRDefault="00BE0067" w:rsidP="002D106E">
      <w:pPr>
        <w:spacing w:line="240" w:lineRule="auto"/>
        <w:ind w:left="720" w:hanging="720"/>
        <w:contextualSpacing/>
        <w:jc w:val="both"/>
        <w:rPr>
          <w:rFonts w:ascii="Calibri" w:hAnsi="Calibri" w:cs="Arial"/>
          <w:i/>
          <w:noProof/>
        </w:rPr>
      </w:pPr>
      <w:bookmarkStart w:id="2" w:name="_ENREF_3"/>
      <w:r w:rsidRPr="005418CC">
        <w:rPr>
          <w:rFonts w:ascii="Calibri" w:hAnsi="Calibri" w:cs="Arial"/>
          <w:noProof/>
        </w:rPr>
        <w:t>[3]</w:t>
      </w:r>
      <w:r w:rsidRPr="005418CC">
        <w:rPr>
          <w:rFonts w:ascii="Calibri" w:hAnsi="Calibri" w:cs="Arial"/>
          <w:noProof/>
        </w:rPr>
        <w:tab/>
        <w:t xml:space="preserve">U. Schwabe, D. H. Paffrath, </w:t>
      </w:r>
      <w:r w:rsidRPr="005418CC">
        <w:rPr>
          <w:rFonts w:ascii="Calibri" w:hAnsi="Calibri" w:cs="Arial"/>
          <w:i/>
          <w:noProof/>
        </w:rPr>
        <w:t xml:space="preserve">Arzneiverordnungs-Report DOI 10.1007/978-3-642-43487-1_11,© Springer-Verlag Berlin Heidelberg, </w:t>
      </w:r>
      <w:r w:rsidRPr="005418CC">
        <w:rPr>
          <w:rFonts w:ascii="Calibri" w:hAnsi="Calibri" w:cs="Arial"/>
          <w:b/>
          <w:noProof/>
        </w:rPr>
        <w:t>2014</w:t>
      </w:r>
      <w:r w:rsidRPr="005418CC">
        <w:rPr>
          <w:rFonts w:ascii="Calibri" w:hAnsi="Calibri" w:cs="Arial"/>
          <w:i/>
          <w:noProof/>
        </w:rPr>
        <w:t>.</w:t>
      </w:r>
      <w:bookmarkStart w:id="3" w:name="_ENREF_4"/>
      <w:bookmarkEnd w:id="2"/>
    </w:p>
    <w:p w:rsidR="00BE0067" w:rsidRPr="002D106E" w:rsidRDefault="00BE0067" w:rsidP="002D106E">
      <w:pPr>
        <w:keepLines/>
        <w:widowControl w:val="0"/>
        <w:spacing w:line="240" w:lineRule="auto"/>
        <w:ind w:left="720" w:hanging="720"/>
        <w:jc w:val="both"/>
        <w:rPr>
          <w:rFonts w:ascii="Calibri" w:hAnsi="Calibri" w:cs="Arial"/>
          <w:i/>
          <w:noProof/>
          <w:lang w:val="en-US"/>
        </w:rPr>
      </w:pPr>
      <w:r w:rsidRPr="00BE0067">
        <w:rPr>
          <w:rFonts w:ascii="Calibri" w:hAnsi="Calibri" w:cs="Arial"/>
          <w:noProof/>
          <w:lang w:val="en-US"/>
        </w:rPr>
        <w:t>[4]</w:t>
      </w:r>
      <w:r w:rsidRPr="00BE0067">
        <w:rPr>
          <w:rFonts w:ascii="Calibri" w:hAnsi="Calibri" w:cs="Arial"/>
          <w:noProof/>
          <w:lang w:val="en-US"/>
        </w:rPr>
        <w:tab/>
        <w:t xml:space="preserve">N. J. Niemuth, R. Jordan, J. Crago, C. Blanksma, R. Johnson, R. D. Klaper, </w:t>
      </w:r>
      <w:r w:rsidRPr="00BE0067">
        <w:rPr>
          <w:rFonts w:ascii="Calibri" w:hAnsi="Calibri" w:cs="Arial"/>
          <w:i/>
          <w:noProof/>
          <w:lang w:val="en-US"/>
        </w:rPr>
        <w:t>Environmental toxicology and chemistry / SETAC Metformin exposure at environmentally relevant concentrations causes potential endocrine disruption in adult male fish</w:t>
      </w:r>
      <w:r w:rsidRPr="00BE0067">
        <w:rPr>
          <w:rFonts w:ascii="Calibri" w:hAnsi="Calibri" w:cs="Arial"/>
          <w:noProof/>
          <w:lang w:val="en-US"/>
        </w:rPr>
        <w:t xml:space="preserve">, </w:t>
      </w:r>
      <w:r w:rsidRPr="00BE0067">
        <w:rPr>
          <w:rFonts w:ascii="Calibri" w:hAnsi="Calibri" w:cs="Arial"/>
          <w:i/>
          <w:noProof/>
          <w:lang w:val="en-US"/>
        </w:rPr>
        <w:t>34</w:t>
      </w:r>
      <w:r w:rsidRPr="00BE0067">
        <w:rPr>
          <w:rFonts w:ascii="Calibri" w:hAnsi="Calibri" w:cs="Arial"/>
          <w:noProof/>
          <w:lang w:val="en-US"/>
        </w:rPr>
        <w:t>, 291-296</w:t>
      </w:r>
      <w:r w:rsidRPr="00BE0067">
        <w:rPr>
          <w:rFonts w:ascii="Calibri" w:hAnsi="Calibri" w:cs="Arial"/>
          <w:i/>
          <w:noProof/>
          <w:lang w:val="en-US"/>
        </w:rPr>
        <w:t xml:space="preserve">, </w:t>
      </w:r>
      <w:r w:rsidRPr="00BE0067">
        <w:rPr>
          <w:rFonts w:ascii="Calibri" w:hAnsi="Calibri" w:cs="Arial"/>
          <w:b/>
          <w:noProof/>
          <w:lang w:val="en-US"/>
        </w:rPr>
        <w:t>2015</w:t>
      </w:r>
      <w:r w:rsidRPr="00BE0067">
        <w:rPr>
          <w:rFonts w:ascii="Calibri" w:hAnsi="Calibri" w:cs="Arial"/>
          <w:noProof/>
          <w:lang w:val="en-US"/>
        </w:rPr>
        <w:t>.</w:t>
      </w:r>
      <w:bookmarkEnd w:id="3"/>
    </w:p>
    <w:p w:rsidR="00BE0067" w:rsidRDefault="00BE0067" w:rsidP="002D106E">
      <w:pPr>
        <w:spacing w:line="240" w:lineRule="auto"/>
        <w:jc w:val="both"/>
        <w:rPr>
          <w:rFonts w:ascii="Calibri" w:hAnsi="Calibri" w:cs="Arial"/>
          <w:noProof/>
          <w:lang w:val="en-US"/>
        </w:rPr>
      </w:pPr>
    </w:p>
    <w:p w:rsidR="00DA4DE4" w:rsidRPr="00705C5F" w:rsidRDefault="009C6FBD" w:rsidP="005732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DA4DE4" w:rsidRPr="00705C5F" w:rsidSect="00106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 Copy_Zwischenberich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av9ezptxr2rieat27xtwt0watpps9rexs9&quot;&gt;Doktorarbeit&lt;record-ids&gt;&lt;item&gt;150&lt;/item&gt;&lt;item&gt;151&lt;/item&gt;&lt;item&gt;152&lt;/item&gt;&lt;item&gt;153&lt;/item&gt;&lt;/record-ids&gt;&lt;/item&gt;&lt;/Libraries&gt;"/>
  </w:docVars>
  <w:rsids>
    <w:rsidRoot w:val="00AB3F2E"/>
    <w:rsid w:val="00021E40"/>
    <w:rsid w:val="000365F5"/>
    <w:rsid w:val="00081C63"/>
    <w:rsid w:val="000842CF"/>
    <w:rsid w:val="0009233A"/>
    <w:rsid w:val="00097879"/>
    <w:rsid w:val="000B1289"/>
    <w:rsid w:val="000D6BB3"/>
    <w:rsid w:val="00106F11"/>
    <w:rsid w:val="00112EF9"/>
    <w:rsid w:val="00122E7E"/>
    <w:rsid w:val="00125C67"/>
    <w:rsid w:val="001556FA"/>
    <w:rsid w:val="00172EE7"/>
    <w:rsid w:val="001C5E24"/>
    <w:rsid w:val="001D0FFD"/>
    <w:rsid w:val="00213CA1"/>
    <w:rsid w:val="00215147"/>
    <w:rsid w:val="00215F76"/>
    <w:rsid w:val="002459E4"/>
    <w:rsid w:val="002A3E12"/>
    <w:rsid w:val="002A734B"/>
    <w:rsid w:val="002C7A7F"/>
    <w:rsid w:val="002D106E"/>
    <w:rsid w:val="003724EB"/>
    <w:rsid w:val="00382336"/>
    <w:rsid w:val="003829EF"/>
    <w:rsid w:val="003A699F"/>
    <w:rsid w:val="003B20A3"/>
    <w:rsid w:val="003B67D4"/>
    <w:rsid w:val="003D3BAB"/>
    <w:rsid w:val="0040332E"/>
    <w:rsid w:val="00411478"/>
    <w:rsid w:val="0041357D"/>
    <w:rsid w:val="004577CC"/>
    <w:rsid w:val="00476CC4"/>
    <w:rsid w:val="004A28A7"/>
    <w:rsid w:val="004B4CB1"/>
    <w:rsid w:val="004D64EC"/>
    <w:rsid w:val="004E26A1"/>
    <w:rsid w:val="004F05E3"/>
    <w:rsid w:val="005418CC"/>
    <w:rsid w:val="00545DB1"/>
    <w:rsid w:val="00573204"/>
    <w:rsid w:val="005771BB"/>
    <w:rsid w:val="00582D89"/>
    <w:rsid w:val="005B1EEC"/>
    <w:rsid w:val="005E381B"/>
    <w:rsid w:val="0061565D"/>
    <w:rsid w:val="006447D7"/>
    <w:rsid w:val="00663536"/>
    <w:rsid w:val="00663C82"/>
    <w:rsid w:val="00691638"/>
    <w:rsid w:val="006B2255"/>
    <w:rsid w:val="006B437C"/>
    <w:rsid w:val="006E7CBC"/>
    <w:rsid w:val="00705C5F"/>
    <w:rsid w:val="00710CBB"/>
    <w:rsid w:val="00730A4F"/>
    <w:rsid w:val="007467B7"/>
    <w:rsid w:val="00750F7B"/>
    <w:rsid w:val="007B407E"/>
    <w:rsid w:val="007E3A57"/>
    <w:rsid w:val="007E758A"/>
    <w:rsid w:val="007F3A23"/>
    <w:rsid w:val="008525F0"/>
    <w:rsid w:val="0088003C"/>
    <w:rsid w:val="00896510"/>
    <w:rsid w:val="008A5920"/>
    <w:rsid w:val="008A69FD"/>
    <w:rsid w:val="008C5AB4"/>
    <w:rsid w:val="008C7C44"/>
    <w:rsid w:val="008F1B95"/>
    <w:rsid w:val="00926426"/>
    <w:rsid w:val="00932411"/>
    <w:rsid w:val="00941B95"/>
    <w:rsid w:val="00964347"/>
    <w:rsid w:val="00975770"/>
    <w:rsid w:val="009A20DF"/>
    <w:rsid w:val="009C0F6D"/>
    <w:rsid w:val="009C6FBD"/>
    <w:rsid w:val="009E2886"/>
    <w:rsid w:val="00A10980"/>
    <w:rsid w:val="00A66EC3"/>
    <w:rsid w:val="00A702AB"/>
    <w:rsid w:val="00AA6D3B"/>
    <w:rsid w:val="00AB3F2E"/>
    <w:rsid w:val="00AE43C1"/>
    <w:rsid w:val="00B115CA"/>
    <w:rsid w:val="00B26781"/>
    <w:rsid w:val="00B3363C"/>
    <w:rsid w:val="00B36970"/>
    <w:rsid w:val="00B446D1"/>
    <w:rsid w:val="00B52A91"/>
    <w:rsid w:val="00B74A98"/>
    <w:rsid w:val="00BD6689"/>
    <w:rsid w:val="00BE0067"/>
    <w:rsid w:val="00BE32D2"/>
    <w:rsid w:val="00BF6F96"/>
    <w:rsid w:val="00C44C3C"/>
    <w:rsid w:val="00CB19DD"/>
    <w:rsid w:val="00CD3EA4"/>
    <w:rsid w:val="00CD71D8"/>
    <w:rsid w:val="00CE1BD5"/>
    <w:rsid w:val="00CF0B21"/>
    <w:rsid w:val="00CF2448"/>
    <w:rsid w:val="00CF489B"/>
    <w:rsid w:val="00D0559D"/>
    <w:rsid w:val="00D1448F"/>
    <w:rsid w:val="00D30894"/>
    <w:rsid w:val="00D47E3A"/>
    <w:rsid w:val="00D501C8"/>
    <w:rsid w:val="00D567FA"/>
    <w:rsid w:val="00D60010"/>
    <w:rsid w:val="00D77410"/>
    <w:rsid w:val="00D95F78"/>
    <w:rsid w:val="00DA4DE4"/>
    <w:rsid w:val="00DE1F2D"/>
    <w:rsid w:val="00DE473D"/>
    <w:rsid w:val="00E040C4"/>
    <w:rsid w:val="00E04D05"/>
    <w:rsid w:val="00E65758"/>
    <w:rsid w:val="00E8087F"/>
    <w:rsid w:val="00EB5633"/>
    <w:rsid w:val="00EC3B64"/>
    <w:rsid w:val="00F33A79"/>
    <w:rsid w:val="00F40E2D"/>
    <w:rsid w:val="00F72599"/>
    <w:rsid w:val="00FA29F0"/>
    <w:rsid w:val="00FA60D4"/>
    <w:rsid w:val="00FE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BF6F96"/>
  </w:style>
  <w:style w:type="character" w:styleId="Hyperlink">
    <w:name w:val="Hyperlink"/>
    <w:basedOn w:val="Absatz-Standardschriftart"/>
    <w:uiPriority w:val="99"/>
    <w:unhideWhenUsed/>
    <w:rsid w:val="00084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cgoedeck</dc:creator>
  <cp:lastModifiedBy>cgoedeck</cp:lastModifiedBy>
  <cp:revision>3</cp:revision>
  <cp:lastPrinted>2015-03-06T14:07:00Z</cp:lastPrinted>
  <dcterms:created xsi:type="dcterms:W3CDTF">2015-04-29T11:00:00Z</dcterms:created>
  <dcterms:modified xsi:type="dcterms:W3CDTF">2015-04-29T11:15:00Z</dcterms:modified>
</cp:coreProperties>
</file>