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63" w:rsidRPr="006E0029" w:rsidRDefault="00CB6D63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n-US"/>
        </w:rPr>
        <w:t>L</w:t>
      </w:r>
      <w:r w:rsidRPr="00BB4B2A">
        <w:rPr>
          <w:rFonts w:ascii="Arial" w:hAnsi="Arial" w:cs="Arial"/>
          <w:b/>
          <w:noProof/>
          <w:sz w:val="28"/>
          <w:szCs w:val="28"/>
          <w:lang w:val="en-US"/>
        </w:rPr>
        <w:t xml:space="preserve">ong-range </w:t>
      </w:r>
      <w:r>
        <w:rPr>
          <w:rFonts w:ascii="Arial" w:hAnsi="Arial" w:cs="Arial"/>
          <w:b/>
          <w:noProof/>
          <w:sz w:val="28"/>
          <w:szCs w:val="28"/>
          <w:lang w:val="en-US"/>
        </w:rPr>
        <w:t xml:space="preserve">atmospheric </w:t>
      </w:r>
      <w:r w:rsidRPr="00BB4B2A">
        <w:rPr>
          <w:rFonts w:ascii="Arial" w:hAnsi="Arial" w:cs="Arial"/>
          <w:b/>
          <w:noProof/>
          <w:sz w:val="28"/>
          <w:szCs w:val="28"/>
          <w:lang w:val="en-US"/>
        </w:rPr>
        <w:t xml:space="preserve">transport and transformation </w:t>
      </w:r>
      <w:r w:rsidRPr="00A14808">
        <w:rPr>
          <w:rFonts w:ascii="Arial" w:hAnsi="Arial" w:cs="Arial"/>
          <w:b/>
          <w:noProof/>
          <w:sz w:val="28"/>
          <w:szCs w:val="28"/>
          <w:lang w:val="en-US"/>
        </w:rPr>
        <w:t xml:space="preserve">of </w:t>
      </w:r>
      <w:r w:rsidRPr="00C33F2B">
        <w:rPr>
          <w:rFonts w:ascii="Arial" w:hAnsi="Arial" w:cs="Arial"/>
          <w:b/>
          <w:noProof/>
          <w:sz w:val="28"/>
          <w:szCs w:val="28"/>
          <w:lang w:val="en-US"/>
        </w:rPr>
        <w:t xml:space="preserve">PAHs, </w:t>
      </w:r>
      <w:r w:rsidRPr="00A14808">
        <w:rPr>
          <w:rFonts w:ascii="Arial" w:hAnsi="Arial" w:cs="Arial"/>
          <w:b/>
          <w:noProof/>
          <w:sz w:val="28"/>
          <w:szCs w:val="28"/>
          <w:lang w:val="en-US"/>
        </w:rPr>
        <w:t xml:space="preserve">PCBs </w:t>
      </w:r>
      <w:r w:rsidRPr="00BB4B2A">
        <w:rPr>
          <w:rFonts w:ascii="Arial" w:hAnsi="Arial" w:cs="Arial"/>
          <w:b/>
          <w:noProof/>
          <w:sz w:val="28"/>
          <w:szCs w:val="28"/>
          <w:lang w:val="en-US"/>
        </w:rPr>
        <w:t xml:space="preserve">and PBDEs over the </w:t>
      </w:r>
      <w:smartTag w:uri="urn:schemas-microsoft-com:office:smarttags" w:element="place">
        <w:r w:rsidRPr="00BB4B2A">
          <w:rPr>
            <w:rFonts w:ascii="Arial" w:hAnsi="Arial" w:cs="Arial"/>
            <w:b/>
            <w:noProof/>
            <w:sz w:val="28"/>
            <w:szCs w:val="28"/>
            <w:lang w:val="en-US"/>
          </w:rPr>
          <w:t>Aegean</w:t>
        </w:r>
      </w:smartTag>
      <w:r w:rsidRPr="00BB4B2A">
        <w:rPr>
          <w:rFonts w:ascii="Arial" w:hAnsi="Arial" w:cs="Arial"/>
          <w:b/>
          <w:noProof/>
          <w:sz w:val="28"/>
          <w:szCs w:val="28"/>
          <w:lang w:val="en-US"/>
        </w:rPr>
        <w:t xml:space="preserve"> in summer 2012</w:t>
      </w:r>
    </w:p>
    <w:p w:rsidR="00CB6D63" w:rsidRPr="006E0029" w:rsidRDefault="00CB6D63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CB6D63" w:rsidRPr="00474FE4" w:rsidRDefault="00CB6D63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 w:rsidRPr="00474FE4">
        <w:rPr>
          <w:rFonts w:ascii="Arial" w:hAnsi="Arial" w:cs="Arial"/>
          <w:smallCaps/>
          <w:noProof/>
          <w:u w:val="single"/>
          <w:lang w:val="en-US"/>
        </w:rPr>
        <w:t>M.D. Mulder</w:t>
      </w:r>
      <w:r w:rsidRPr="00474FE4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Pr="00474FE4">
        <w:rPr>
          <w:rFonts w:ascii="Arial" w:hAnsi="Arial" w:cs="Arial"/>
          <w:smallCaps/>
          <w:noProof/>
          <w:lang w:val="en-US"/>
        </w:rPr>
        <w:t>, J. Bieser</w:t>
      </w:r>
      <w:r w:rsidRPr="00474FE4">
        <w:rPr>
          <w:rFonts w:ascii="Arial" w:hAnsi="Arial" w:cs="Arial"/>
          <w:smallCaps/>
          <w:noProof/>
          <w:vertAlign w:val="superscript"/>
          <w:lang w:val="en-US"/>
        </w:rPr>
        <w:t>2</w:t>
      </w:r>
      <w:r w:rsidRPr="00474FE4">
        <w:rPr>
          <w:rFonts w:ascii="Arial" w:hAnsi="Arial" w:cs="Arial"/>
          <w:smallCaps/>
          <w:noProof/>
          <w:lang w:val="en-US"/>
        </w:rPr>
        <w:t xml:space="preserve">, </w:t>
      </w:r>
      <w:r w:rsidRPr="00DD1AE5">
        <w:rPr>
          <w:rFonts w:ascii="Arial" w:hAnsi="Arial" w:cs="Arial"/>
          <w:smallCaps/>
          <w:noProof/>
          <w:lang w:val="en-US"/>
        </w:rPr>
        <w:t>Y</w:t>
      </w:r>
      <w:r>
        <w:rPr>
          <w:rFonts w:ascii="Arial" w:hAnsi="Arial" w:cs="Arial"/>
          <w:smallCaps/>
          <w:noProof/>
          <w:lang w:val="en-US"/>
        </w:rPr>
        <w:t>.</w:t>
      </w:r>
      <w:r w:rsidRPr="00DD1AE5">
        <w:rPr>
          <w:rFonts w:ascii="Arial" w:hAnsi="Arial" w:cs="Arial"/>
          <w:smallCaps/>
          <w:noProof/>
          <w:lang w:val="en-US"/>
        </w:rPr>
        <w:t xml:space="preserve"> Dumanoglu</w:t>
      </w:r>
      <w:r w:rsidRPr="00DD1AE5">
        <w:rPr>
          <w:rFonts w:ascii="Arial" w:hAnsi="Arial" w:cs="Arial"/>
          <w:smallCaps/>
          <w:noProof/>
          <w:vertAlign w:val="superscript"/>
          <w:lang w:val="en-US"/>
        </w:rPr>
        <w:t>3</w:t>
      </w:r>
      <w:r w:rsidRPr="00DD1AE5">
        <w:rPr>
          <w:rFonts w:ascii="Arial" w:hAnsi="Arial" w:cs="Arial"/>
          <w:smallCaps/>
          <w:noProof/>
          <w:lang w:val="en-US"/>
        </w:rPr>
        <w:t xml:space="preserve">, </w:t>
      </w:r>
      <w:r w:rsidRPr="00474FE4">
        <w:rPr>
          <w:rFonts w:ascii="Arial" w:hAnsi="Arial" w:cs="Arial"/>
          <w:smallCaps/>
          <w:noProof/>
          <w:lang w:val="en-US"/>
        </w:rPr>
        <w:t>C. Efstathiou</w:t>
      </w:r>
      <w:r w:rsidRPr="00474FE4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Pr="00474FE4">
        <w:rPr>
          <w:rFonts w:ascii="Arial" w:hAnsi="Arial" w:cs="Arial"/>
          <w:smallCaps/>
          <w:noProof/>
          <w:lang w:val="en-US"/>
        </w:rPr>
        <w:t>, K. Eleftheriadis</w:t>
      </w:r>
      <w:r>
        <w:rPr>
          <w:rFonts w:ascii="Arial" w:hAnsi="Arial" w:cs="Arial"/>
          <w:smallCaps/>
          <w:noProof/>
          <w:vertAlign w:val="superscript"/>
          <w:lang w:val="en-US"/>
        </w:rPr>
        <w:t>4</w:t>
      </w:r>
      <w:r w:rsidRPr="00474FE4">
        <w:rPr>
          <w:rFonts w:ascii="Arial" w:hAnsi="Arial" w:cs="Arial"/>
          <w:smallCaps/>
          <w:noProof/>
          <w:lang w:val="en-US"/>
        </w:rPr>
        <w:t>, A.K. Georgoulias</w:t>
      </w:r>
      <w:r>
        <w:rPr>
          <w:rFonts w:ascii="Arial" w:hAnsi="Arial" w:cs="Arial"/>
          <w:smallCaps/>
          <w:noProof/>
          <w:vertAlign w:val="superscript"/>
          <w:lang w:val="en-US"/>
        </w:rPr>
        <w:t>5,6,7</w:t>
      </w:r>
      <w:r w:rsidRPr="00474FE4">
        <w:rPr>
          <w:rFonts w:ascii="Arial" w:hAnsi="Arial" w:cs="Arial"/>
          <w:smallCaps/>
          <w:noProof/>
          <w:lang w:val="en-US"/>
        </w:rPr>
        <w:t>, P. Kukučka</w:t>
      </w:r>
      <w:r w:rsidRPr="00474FE4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Pr="00474FE4">
        <w:rPr>
          <w:rFonts w:ascii="Arial" w:hAnsi="Arial" w:cs="Arial"/>
          <w:smallCaps/>
          <w:noProof/>
          <w:lang w:val="en-US"/>
        </w:rPr>
        <w:t>, H. Liškova</w:t>
      </w:r>
      <w:r w:rsidRPr="00474FE4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Pr="00474FE4">
        <w:rPr>
          <w:rFonts w:ascii="Arial" w:hAnsi="Arial" w:cs="Arial"/>
          <w:smallCaps/>
          <w:noProof/>
          <w:lang w:val="en-US"/>
        </w:rPr>
        <w:t>, J. Matejovičova</w:t>
      </w:r>
      <w:r>
        <w:rPr>
          <w:rFonts w:ascii="Arial" w:hAnsi="Arial" w:cs="Arial"/>
          <w:smallCaps/>
          <w:noProof/>
          <w:vertAlign w:val="superscript"/>
          <w:lang w:val="en-US"/>
        </w:rPr>
        <w:t>1,8</w:t>
      </w:r>
      <w:r w:rsidRPr="00474FE4">
        <w:rPr>
          <w:rFonts w:ascii="Arial" w:hAnsi="Arial" w:cs="Arial"/>
          <w:smallCaps/>
          <w:noProof/>
          <w:lang w:val="en-US"/>
        </w:rPr>
        <w:t>, P. Přibylova</w:t>
      </w:r>
      <w:r w:rsidRPr="00474FE4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Pr="00474FE4">
        <w:rPr>
          <w:rFonts w:ascii="Arial" w:hAnsi="Arial" w:cs="Arial"/>
          <w:smallCaps/>
          <w:noProof/>
          <w:lang w:val="en-US"/>
        </w:rPr>
        <w:t>, R. Prokeš</w:t>
      </w:r>
      <w:r w:rsidRPr="00474FE4">
        <w:rPr>
          <w:rFonts w:ascii="Arial" w:hAnsi="Arial" w:cs="Arial"/>
          <w:smallCaps/>
          <w:noProof/>
          <w:vertAlign w:val="superscript"/>
          <w:lang w:val="en-US"/>
        </w:rPr>
        <w:t>1</w:t>
      </w:r>
      <w:r w:rsidRPr="00474FE4">
        <w:rPr>
          <w:rFonts w:ascii="Arial" w:hAnsi="Arial" w:cs="Arial"/>
          <w:smallCaps/>
          <w:noProof/>
          <w:lang w:val="en-US"/>
        </w:rPr>
        <w:t>,  A. Sofuoglu</w:t>
      </w:r>
      <w:r>
        <w:rPr>
          <w:rFonts w:ascii="Arial" w:hAnsi="Arial" w:cs="Arial"/>
          <w:smallCaps/>
          <w:noProof/>
          <w:vertAlign w:val="superscript"/>
          <w:lang w:val="en-US"/>
        </w:rPr>
        <w:t>9</w:t>
      </w:r>
      <w:r w:rsidRPr="00474FE4">
        <w:rPr>
          <w:rFonts w:ascii="Arial" w:hAnsi="Arial" w:cs="Arial"/>
          <w:smallCaps/>
          <w:noProof/>
          <w:lang w:val="en-US"/>
        </w:rPr>
        <w:t>, S.C. Sofuoglu</w:t>
      </w:r>
      <w:r>
        <w:rPr>
          <w:rFonts w:ascii="Arial" w:hAnsi="Arial" w:cs="Arial"/>
          <w:smallCaps/>
          <w:noProof/>
          <w:vertAlign w:val="superscript"/>
          <w:lang w:val="en-US"/>
        </w:rPr>
        <w:t>9</w:t>
      </w:r>
      <w:r w:rsidRPr="00474FE4">
        <w:rPr>
          <w:rFonts w:ascii="Arial" w:hAnsi="Arial" w:cs="Arial"/>
          <w:smallCaps/>
          <w:noProof/>
          <w:lang w:val="en-US"/>
        </w:rPr>
        <w:t>, V. Vassilatou</w:t>
      </w:r>
      <w:r>
        <w:rPr>
          <w:rFonts w:ascii="Arial" w:hAnsi="Arial" w:cs="Arial"/>
          <w:smallCaps/>
          <w:noProof/>
          <w:vertAlign w:val="superscript"/>
          <w:lang w:val="en-US"/>
        </w:rPr>
        <w:t>4</w:t>
      </w:r>
      <w:r w:rsidRPr="00474FE4">
        <w:rPr>
          <w:rFonts w:ascii="Arial" w:hAnsi="Arial" w:cs="Arial"/>
          <w:smallCaps/>
          <w:noProof/>
          <w:lang w:val="en-US"/>
        </w:rPr>
        <w:t>, G. Lammel</w:t>
      </w:r>
      <w:r>
        <w:rPr>
          <w:rFonts w:ascii="Arial" w:hAnsi="Arial" w:cs="Arial"/>
          <w:smallCaps/>
          <w:noProof/>
          <w:vertAlign w:val="superscript"/>
          <w:lang w:val="en-US"/>
        </w:rPr>
        <w:t>1,10</w:t>
      </w:r>
    </w:p>
    <w:p w:rsidR="00CB6D63" w:rsidRPr="00474FE4" w:rsidRDefault="00CB6D63" w:rsidP="008825B4">
      <w:pPr>
        <w:rPr>
          <w:rFonts w:ascii="Arial" w:hAnsi="Arial" w:cs="Arial"/>
          <w:noProof/>
          <w:sz w:val="18"/>
          <w:szCs w:val="18"/>
          <w:lang w:val="en-US"/>
        </w:rPr>
      </w:pPr>
      <w:r w:rsidRPr="00474FE4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Pr="00474FE4">
        <w:rPr>
          <w:rFonts w:ascii="Arial" w:hAnsi="Arial" w:cs="Arial"/>
          <w:noProof/>
          <w:sz w:val="18"/>
          <w:szCs w:val="18"/>
          <w:lang w:val="en-US"/>
        </w:rPr>
        <w:t xml:space="preserve">Masaryk University, Research Centre for Toxic Compounds in the Environment, Kamenice 5 - A29, 625 00 </w:t>
      </w:r>
      <w:smartTag w:uri="urn:schemas-microsoft-com:office:smarttags" w:element="City">
        <w:r w:rsidRPr="00474FE4">
          <w:rPr>
            <w:rFonts w:ascii="Arial" w:hAnsi="Arial" w:cs="Arial"/>
            <w:noProof/>
            <w:sz w:val="18"/>
            <w:szCs w:val="18"/>
            <w:lang w:val="en-US"/>
          </w:rPr>
          <w:t>Brno</w:t>
        </w:r>
      </w:smartTag>
      <w:r w:rsidRPr="00474FE4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smartTag w:uri="urn:schemas-microsoft-com:office:smarttags" w:element="PlaceName">
        <w:smartTag w:uri="urn:schemas-microsoft-com:office:smarttags" w:element="place">
          <w:r w:rsidRPr="00474FE4">
            <w:rPr>
              <w:rFonts w:ascii="Arial" w:hAnsi="Arial" w:cs="Arial"/>
              <w:noProof/>
              <w:sz w:val="18"/>
              <w:szCs w:val="18"/>
              <w:lang w:val="en-US"/>
            </w:rPr>
            <w:t>Czech</w:t>
          </w:r>
        </w:smartTag>
        <w:r w:rsidRPr="00474FE4">
          <w:rPr>
            <w:rFonts w:ascii="Arial" w:hAnsi="Arial" w:cs="Arial"/>
            <w:noProof/>
            <w:sz w:val="18"/>
            <w:szCs w:val="18"/>
            <w:lang w:val="en-US"/>
          </w:rPr>
          <w:t xml:space="preserve"> </w:t>
        </w:r>
        <w:smartTag w:uri="urn:schemas-microsoft-com:office:smarttags" w:element="place">
          <w:r w:rsidRPr="00474FE4">
            <w:rPr>
              <w:rFonts w:ascii="Arial" w:hAnsi="Arial" w:cs="Arial"/>
              <w:noProof/>
              <w:sz w:val="18"/>
              <w:szCs w:val="18"/>
              <w:lang w:val="en-US"/>
            </w:rPr>
            <w:t>Republic</w:t>
          </w:r>
        </w:smartTag>
      </w:smartTag>
    </w:p>
    <w:p w:rsidR="00CB6D63" w:rsidRPr="00474FE4" w:rsidRDefault="00CB6D63" w:rsidP="004F31AF">
      <w:pPr>
        <w:rPr>
          <w:rFonts w:ascii="Arial" w:hAnsi="Arial" w:cs="Arial"/>
          <w:noProof/>
          <w:sz w:val="18"/>
          <w:szCs w:val="18"/>
          <w:lang w:val="en-US"/>
        </w:rPr>
      </w:pPr>
      <w:r w:rsidRPr="00474FE4">
        <w:rPr>
          <w:rFonts w:ascii="Arial" w:hAnsi="Arial" w:cs="Arial"/>
          <w:noProof/>
          <w:sz w:val="18"/>
          <w:szCs w:val="18"/>
          <w:vertAlign w:val="superscript"/>
          <w:lang w:val="en-US"/>
        </w:rPr>
        <w:t>2</w:t>
      </w:r>
      <w:r w:rsidRPr="00474FE4">
        <w:rPr>
          <w:rFonts w:ascii="Arial" w:hAnsi="Arial" w:cs="Arial"/>
          <w:noProof/>
          <w:sz w:val="18"/>
          <w:szCs w:val="18"/>
          <w:lang w:val="en-US"/>
        </w:rPr>
        <w:t xml:space="preserve"> GKSS Research Centre, Institute for Coastal Research, 21502 </w:t>
      </w:r>
      <w:smartTag w:uri="urn:schemas-microsoft-com:office:smarttags" w:element="place">
        <w:smartTag w:uri="urn:schemas-microsoft-com:office:smarttags" w:element="place">
          <w:r w:rsidRPr="00474FE4">
            <w:rPr>
              <w:rFonts w:ascii="Arial" w:hAnsi="Arial" w:cs="Arial"/>
              <w:noProof/>
              <w:sz w:val="18"/>
              <w:szCs w:val="18"/>
              <w:lang w:val="en-US"/>
            </w:rPr>
            <w:t>Geesthacht</w:t>
          </w:r>
        </w:smartTag>
        <w:r w:rsidRPr="00474FE4">
          <w:rPr>
            <w:rFonts w:ascii="Arial" w:hAnsi="Arial" w:cs="Arial"/>
            <w:noProof/>
            <w:sz w:val="18"/>
            <w:szCs w:val="18"/>
            <w:lang w:val="en-US"/>
          </w:rPr>
          <w:t xml:space="preserve">, </w:t>
        </w:r>
        <w:smartTag w:uri="urn:schemas-microsoft-com:office:smarttags" w:element="place">
          <w:r w:rsidRPr="00474FE4">
            <w:rPr>
              <w:rFonts w:ascii="Arial" w:hAnsi="Arial" w:cs="Arial"/>
              <w:noProof/>
              <w:sz w:val="18"/>
              <w:szCs w:val="18"/>
              <w:lang w:val="en-US"/>
            </w:rPr>
            <w:t>Germany</w:t>
          </w:r>
        </w:smartTag>
      </w:smartTag>
    </w:p>
    <w:p w:rsidR="00CB6D63" w:rsidRPr="00DD1AE5" w:rsidRDefault="00CB6D63" w:rsidP="004F31AF">
      <w:pPr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3 </w:t>
      </w:r>
      <w:r w:rsidRPr="00DD1AE5">
        <w:rPr>
          <w:rFonts w:ascii="Arial" w:hAnsi="Arial" w:cs="Arial"/>
          <w:noProof/>
          <w:sz w:val="18"/>
          <w:szCs w:val="18"/>
          <w:lang w:val="en-US"/>
        </w:rPr>
        <w:t xml:space="preserve">Dokuz Eylul University, Environmental Engineering Dept,, 35160 </w:t>
      </w:r>
      <w:smartTag w:uri="urn:schemas-microsoft-com:office:smarttags" w:element="place">
        <w:smartTag w:uri="urn:schemas-microsoft-com:office:smarttags" w:element="place">
          <w:r w:rsidRPr="00DD1AE5">
            <w:rPr>
              <w:rFonts w:ascii="Arial" w:hAnsi="Arial" w:cs="Arial"/>
              <w:noProof/>
              <w:sz w:val="18"/>
              <w:szCs w:val="18"/>
              <w:lang w:val="en-US"/>
            </w:rPr>
            <w:t>Buca</w:t>
          </w:r>
        </w:smartTag>
        <w:r w:rsidRPr="00DD1AE5">
          <w:rPr>
            <w:rFonts w:ascii="Arial" w:hAnsi="Arial" w:cs="Arial"/>
            <w:noProof/>
            <w:sz w:val="18"/>
            <w:szCs w:val="18"/>
            <w:lang w:val="en-US"/>
          </w:rPr>
          <w:t xml:space="preserve">, </w:t>
        </w:r>
        <w:smartTag w:uri="urn:schemas-microsoft-com:office:smarttags" w:element="place">
          <w:r w:rsidRPr="00DD1AE5">
            <w:rPr>
              <w:rFonts w:ascii="Arial" w:hAnsi="Arial" w:cs="Arial"/>
              <w:noProof/>
              <w:sz w:val="18"/>
              <w:szCs w:val="18"/>
              <w:lang w:val="en-US"/>
            </w:rPr>
            <w:t>Turkey</w:t>
          </w:r>
        </w:smartTag>
      </w:smartTag>
    </w:p>
    <w:p w:rsidR="00CB6D63" w:rsidRPr="00474FE4" w:rsidRDefault="00CB6D63" w:rsidP="004F31AF">
      <w:pPr>
        <w:rPr>
          <w:rFonts w:ascii="Arial" w:hAnsi="Arial" w:cs="Arial"/>
          <w:noProof/>
          <w:sz w:val="18"/>
          <w:szCs w:val="18"/>
          <w:vertAlign w:val="superscript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4</w:t>
      </w:r>
      <w:r w:rsidRPr="00474FE4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 </w:t>
      </w:r>
      <w:r w:rsidRPr="00474FE4">
        <w:rPr>
          <w:rFonts w:ascii="Arial" w:hAnsi="Arial" w:cs="Arial"/>
          <w:noProof/>
          <w:sz w:val="18"/>
          <w:szCs w:val="18"/>
          <w:lang w:val="en-US"/>
        </w:rPr>
        <w:t xml:space="preserve">NCSR Demokritos Institute, Institute of Nuclear Technology and Radiation Protection, 15310 Ag. </w:t>
      </w:r>
      <w:smartTag w:uri="urn:schemas-microsoft-com:office:smarttags" w:element="place">
        <w:smartTag w:uri="urn:schemas-microsoft-com:office:smarttags" w:element="place">
          <w:r w:rsidRPr="00474FE4">
            <w:rPr>
              <w:rFonts w:ascii="Arial" w:hAnsi="Arial" w:cs="Arial"/>
              <w:noProof/>
              <w:sz w:val="18"/>
              <w:szCs w:val="18"/>
              <w:lang w:val="en-US"/>
            </w:rPr>
            <w:t>Paraskevi</w:t>
          </w:r>
        </w:smartTag>
        <w:r w:rsidRPr="00474FE4">
          <w:rPr>
            <w:rFonts w:ascii="Arial" w:hAnsi="Arial" w:cs="Arial"/>
            <w:noProof/>
            <w:sz w:val="18"/>
            <w:szCs w:val="18"/>
            <w:lang w:val="en-US"/>
          </w:rPr>
          <w:t xml:space="preserve">, </w:t>
        </w:r>
        <w:smartTag w:uri="urn:schemas-microsoft-com:office:smarttags" w:element="place">
          <w:r w:rsidRPr="00474FE4">
            <w:rPr>
              <w:rFonts w:ascii="Arial" w:hAnsi="Arial" w:cs="Arial"/>
              <w:noProof/>
              <w:sz w:val="18"/>
              <w:szCs w:val="18"/>
              <w:lang w:val="en-US"/>
            </w:rPr>
            <w:t>Greece</w:t>
          </w:r>
        </w:smartTag>
      </w:smartTag>
    </w:p>
    <w:p w:rsidR="00CB6D63" w:rsidRPr="00474FE4" w:rsidRDefault="00CB6D63" w:rsidP="004F31AF">
      <w:pPr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5</w:t>
      </w:r>
      <w:r w:rsidRPr="00474FE4">
        <w:rPr>
          <w:rFonts w:ascii="Arial" w:hAnsi="Arial" w:cs="Arial"/>
          <w:noProof/>
          <w:sz w:val="18"/>
          <w:szCs w:val="18"/>
          <w:lang w:val="en-US"/>
        </w:rPr>
        <w:t xml:space="preserve"> Aristotle University, Department of Meteorology and Climatology, 54124 </w:t>
      </w:r>
      <w:smartTag w:uri="urn:schemas-microsoft-com:office:smarttags" w:element="place">
        <w:smartTag w:uri="urn:schemas-microsoft-com:office:smarttags" w:element="place">
          <w:r w:rsidRPr="00474FE4">
            <w:rPr>
              <w:rFonts w:ascii="Arial" w:hAnsi="Arial" w:cs="Arial"/>
              <w:noProof/>
              <w:sz w:val="18"/>
              <w:szCs w:val="18"/>
              <w:lang w:val="en-US"/>
            </w:rPr>
            <w:t>Thessaloniki</w:t>
          </w:r>
        </w:smartTag>
        <w:r w:rsidRPr="00474FE4">
          <w:rPr>
            <w:rFonts w:ascii="Arial" w:hAnsi="Arial" w:cs="Arial"/>
            <w:noProof/>
            <w:sz w:val="18"/>
            <w:szCs w:val="18"/>
            <w:lang w:val="en-US"/>
          </w:rPr>
          <w:t xml:space="preserve">, </w:t>
        </w:r>
        <w:smartTag w:uri="urn:schemas-microsoft-com:office:smarttags" w:element="place">
          <w:r w:rsidRPr="00474FE4">
            <w:rPr>
              <w:rFonts w:ascii="Arial" w:hAnsi="Arial" w:cs="Arial"/>
              <w:noProof/>
              <w:sz w:val="18"/>
              <w:szCs w:val="18"/>
              <w:lang w:val="en-US"/>
            </w:rPr>
            <w:t>Greece</w:t>
          </w:r>
        </w:smartTag>
      </w:smartTag>
    </w:p>
    <w:p w:rsidR="00CB6D63" w:rsidRPr="00474FE4" w:rsidRDefault="00CB6D63" w:rsidP="004F31AF">
      <w:pPr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6</w:t>
      </w:r>
      <w:r w:rsidRPr="00474FE4">
        <w:rPr>
          <w:rFonts w:ascii="Arial" w:hAnsi="Arial" w:cs="Arial"/>
          <w:noProof/>
          <w:sz w:val="18"/>
          <w:szCs w:val="18"/>
          <w:lang w:val="en-US"/>
        </w:rPr>
        <w:t xml:space="preserve"> The Cyprus Institute, Energy, Environment and </w:t>
      </w:r>
      <w:smartTag w:uri="urn:schemas-microsoft-com:office:smarttags" w:element="place">
        <w:r w:rsidRPr="00474FE4">
          <w:rPr>
            <w:rFonts w:ascii="Arial" w:hAnsi="Arial" w:cs="Arial"/>
            <w:noProof/>
            <w:sz w:val="18"/>
            <w:szCs w:val="18"/>
            <w:lang w:val="en-US"/>
          </w:rPr>
          <w:t>Water</w:t>
        </w:r>
      </w:smartTag>
      <w:r w:rsidRPr="00474FE4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smartTag w:uri="urn:schemas-microsoft-com:office:smarttags" w:element="place">
        <w:r w:rsidRPr="00474FE4">
          <w:rPr>
            <w:rFonts w:ascii="Arial" w:hAnsi="Arial" w:cs="Arial"/>
            <w:noProof/>
            <w:sz w:val="18"/>
            <w:szCs w:val="18"/>
            <w:lang w:val="en-US"/>
          </w:rPr>
          <w:t>Research</w:t>
        </w:r>
      </w:smartTag>
      <w:r w:rsidRPr="00474FE4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smartTag w:uri="urn:schemas-microsoft-com:office:smarttags" w:element="place">
        <w:r w:rsidRPr="00474FE4">
          <w:rPr>
            <w:rFonts w:ascii="Arial" w:hAnsi="Arial" w:cs="Arial"/>
            <w:noProof/>
            <w:sz w:val="18"/>
            <w:szCs w:val="18"/>
            <w:lang w:val="en-US"/>
          </w:rPr>
          <w:t>Center</w:t>
        </w:r>
      </w:smartTag>
      <w:r w:rsidRPr="00474FE4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">
          <w:r w:rsidRPr="00474FE4">
            <w:rPr>
              <w:rFonts w:ascii="Arial" w:hAnsi="Arial" w:cs="Arial"/>
              <w:noProof/>
              <w:sz w:val="18"/>
              <w:szCs w:val="18"/>
              <w:lang w:val="en-US"/>
            </w:rPr>
            <w:t>Nicosia</w:t>
          </w:r>
        </w:smartTag>
        <w:r w:rsidRPr="00474FE4">
          <w:rPr>
            <w:rFonts w:ascii="Arial" w:hAnsi="Arial" w:cs="Arial"/>
            <w:noProof/>
            <w:sz w:val="18"/>
            <w:szCs w:val="18"/>
            <w:lang w:val="en-US"/>
          </w:rPr>
          <w:t xml:space="preserve">, </w:t>
        </w:r>
        <w:smartTag w:uri="urn:schemas-microsoft-com:office:smarttags" w:element="place">
          <w:r w:rsidRPr="00474FE4">
            <w:rPr>
              <w:rFonts w:ascii="Arial" w:hAnsi="Arial" w:cs="Arial"/>
              <w:noProof/>
              <w:sz w:val="18"/>
              <w:szCs w:val="18"/>
              <w:lang w:val="en-US"/>
            </w:rPr>
            <w:t>Cyprus</w:t>
          </w:r>
        </w:smartTag>
      </w:smartTag>
    </w:p>
    <w:p w:rsidR="00CB6D63" w:rsidRPr="00474FE4" w:rsidRDefault="00CB6D63" w:rsidP="00111612">
      <w:pPr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7</w:t>
      </w:r>
      <w:r w:rsidRPr="00474FE4">
        <w:rPr>
          <w:rFonts w:ascii="Arial" w:hAnsi="Arial" w:cs="Arial"/>
          <w:noProof/>
          <w:sz w:val="18"/>
          <w:szCs w:val="18"/>
          <w:lang w:val="en-US"/>
        </w:rPr>
        <w:t xml:space="preserve"> Max Planck Institute for Chemistry, Atmospheric  Chemistry Department, Hahn-Meitner-Weg 1, 55128 </w:t>
      </w:r>
      <w:smartTag w:uri="urn:schemas-microsoft-com:office:smarttags" w:element="place">
        <w:smartTag w:uri="urn:schemas-microsoft-com:office:smarttags" w:element="place">
          <w:r w:rsidRPr="00474FE4">
            <w:rPr>
              <w:rFonts w:ascii="Arial" w:hAnsi="Arial" w:cs="Arial"/>
              <w:noProof/>
              <w:sz w:val="18"/>
              <w:szCs w:val="18"/>
              <w:lang w:val="en-US"/>
            </w:rPr>
            <w:t>Mainz</w:t>
          </w:r>
        </w:smartTag>
        <w:r w:rsidRPr="00474FE4">
          <w:rPr>
            <w:rFonts w:ascii="Arial" w:hAnsi="Arial" w:cs="Arial"/>
            <w:noProof/>
            <w:sz w:val="18"/>
            <w:szCs w:val="18"/>
            <w:lang w:val="en-US"/>
          </w:rPr>
          <w:t xml:space="preserve">, </w:t>
        </w:r>
        <w:smartTag w:uri="urn:schemas-microsoft-com:office:smarttags" w:element="place">
          <w:r w:rsidRPr="00474FE4">
            <w:rPr>
              <w:rFonts w:ascii="Arial" w:hAnsi="Arial" w:cs="Arial"/>
              <w:noProof/>
              <w:sz w:val="18"/>
              <w:szCs w:val="18"/>
              <w:lang w:val="en-US"/>
            </w:rPr>
            <w:t>Germany</w:t>
          </w:r>
        </w:smartTag>
      </w:smartTag>
    </w:p>
    <w:p w:rsidR="00CB6D63" w:rsidRPr="00DD1AE5" w:rsidRDefault="00CB6D63" w:rsidP="008825B4">
      <w:pPr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8</w:t>
      </w:r>
      <w:r w:rsidRPr="00DD1AE5">
        <w:rPr>
          <w:rFonts w:ascii="Arial" w:hAnsi="Arial" w:cs="Arial"/>
          <w:noProof/>
          <w:sz w:val="18"/>
          <w:szCs w:val="18"/>
          <w:lang w:val="en-US"/>
        </w:rPr>
        <w:t xml:space="preserve"> Slovak Hydrometeorological Institute, Jeséniova 17, 833 15 </w:t>
      </w:r>
      <w:smartTag w:uri="urn:schemas-microsoft-com:office:smarttags" w:element="place">
        <w:r w:rsidRPr="00DD1AE5">
          <w:rPr>
            <w:rFonts w:ascii="Arial" w:hAnsi="Arial" w:cs="Arial"/>
            <w:noProof/>
            <w:sz w:val="18"/>
            <w:szCs w:val="18"/>
            <w:lang w:val="en-US"/>
          </w:rPr>
          <w:t>Bratislava</w:t>
        </w:r>
      </w:smartTag>
      <w:r w:rsidRPr="00DD1AE5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smartTag w:uri="urn:schemas-microsoft-com:office:smarttags" w:element="place">
        <w:r w:rsidRPr="00DD1AE5">
          <w:rPr>
            <w:rFonts w:ascii="Arial" w:hAnsi="Arial" w:cs="Arial"/>
            <w:noProof/>
            <w:sz w:val="18"/>
            <w:szCs w:val="18"/>
            <w:lang w:val="en-US"/>
          </w:rPr>
          <w:t>Slovakia</w:t>
        </w:r>
      </w:smartTag>
    </w:p>
    <w:p w:rsidR="00CB6D63" w:rsidRPr="00474FE4" w:rsidRDefault="00CB6D63" w:rsidP="004F31AF">
      <w:pPr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9</w:t>
      </w:r>
      <w:r w:rsidRPr="00474FE4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smartTag w:uri="urn:schemas-microsoft-com:office:smarttags" w:element="place">
        <w:r w:rsidRPr="00474FE4">
          <w:rPr>
            <w:rFonts w:ascii="Arial" w:hAnsi="Arial" w:cs="Arial"/>
            <w:noProof/>
            <w:sz w:val="18"/>
            <w:szCs w:val="18"/>
            <w:lang w:val="en-US"/>
          </w:rPr>
          <w:t>Izmir</w:t>
        </w:r>
      </w:smartTag>
      <w:r w:rsidRPr="00474FE4">
        <w:rPr>
          <w:rFonts w:ascii="Arial" w:hAnsi="Arial" w:cs="Arial"/>
          <w:noProof/>
          <w:sz w:val="18"/>
          <w:szCs w:val="18"/>
          <w:lang w:val="en-US"/>
        </w:rPr>
        <w:t xml:space="preserve"> Institute of Technology, Department of Chemical Engineering, 35430 </w:t>
      </w:r>
      <w:smartTag w:uri="urn:schemas-microsoft-com:office:smarttags" w:element="place">
        <w:smartTag w:uri="urn:schemas-microsoft-com:office:smarttags" w:element="place">
          <w:r w:rsidRPr="00474FE4">
            <w:rPr>
              <w:rFonts w:ascii="Arial" w:hAnsi="Arial" w:cs="Arial"/>
              <w:noProof/>
              <w:sz w:val="18"/>
              <w:szCs w:val="18"/>
              <w:lang w:val="en-US"/>
            </w:rPr>
            <w:t>Urla</w:t>
          </w:r>
        </w:smartTag>
        <w:r w:rsidRPr="00474FE4">
          <w:rPr>
            <w:rFonts w:ascii="Arial" w:hAnsi="Arial" w:cs="Arial"/>
            <w:noProof/>
            <w:sz w:val="18"/>
            <w:szCs w:val="18"/>
            <w:lang w:val="en-US"/>
          </w:rPr>
          <w:t xml:space="preserve">, </w:t>
        </w:r>
        <w:smartTag w:uri="urn:schemas-microsoft-com:office:smarttags" w:element="place">
          <w:r w:rsidRPr="00474FE4">
            <w:rPr>
              <w:rFonts w:ascii="Arial" w:hAnsi="Arial" w:cs="Arial"/>
              <w:noProof/>
              <w:sz w:val="18"/>
              <w:szCs w:val="18"/>
              <w:lang w:val="en-US"/>
            </w:rPr>
            <w:t>Turkey</w:t>
          </w:r>
        </w:smartTag>
      </w:smartTag>
    </w:p>
    <w:p w:rsidR="00CB6D63" w:rsidRPr="006E0029" w:rsidRDefault="00CB6D63" w:rsidP="0074539B">
      <w:pPr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vertAlign w:val="superscript"/>
          <w:lang w:val="en-US"/>
        </w:rPr>
        <w:t>10</w:t>
      </w:r>
      <w:r w:rsidRPr="00474FE4">
        <w:rPr>
          <w:rFonts w:ascii="Arial" w:hAnsi="Arial" w:cs="Arial"/>
          <w:noProof/>
          <w:sz w:val="18"/>
          <w:szCs w:val="18"/>
          <w:lang w:val="en-US"/>
        </w:rPr>
        <w:t xml:space="preserve"> Max Planck Institute for Chemistry, Multiphase Chemistry Department, Hahn-Meitner-Weg 1</w:t>
      </w:r>
      <w:r w:rsidRPr="006E0029">
        <w:rPr>
          <w:rFonts w:ascii="Arial" w:hAnsi="Arial" w:cs="Arial"/>
          <w:noProof/>
          <w:sz w:val="18"/>
          <w:szCs w:val="18"/>
          <w:lang w:val="en-US"/>
        </w:rPr>
        <w:t xml:space="preserve">, 55128 </w:t>
      </w:r>
      <w:smartTag w:uri="urn:schemas-microsoft-com:office:smarttags" w:element="place">
        <w:smartTag w:uri="urn:schemas-microsoft-com:office:smarttags" w:element="place">
          <w:r w:rsidRPr="006E0029">
            <w:rPr>
              <w:rFonts w:ascii="Arial" w:hAnsi="Arial" w:cs="Arial"/>
              <w:noProof/>
              <w:sz w:val="18"/>
              <w:szCs w:val="18"/>
              <w:lang w:val="en-US"/>
            </w:rPr>
            <w:t>Mainz</w:t>
          </w:r>
        </w:smartTag>
        <w:r w:rsidRPr="006E0029">
          <w:rPr>
            <w:rFonts w:ascii="Arial" w:hAnsi="Arial" w:cs="Arial"/>
            <w:noProof/>
            <w:sz w:val="18"/>
            <w:szCs w:val="18"/>
            <w:lang w:val="en-US"/>
          </w:rPr>
          <w:t xml:space="preserve">, </w:t>
        </w:r>
        <w:smartTag w:uri="urn:schemas-microsoft-com:office:smarttags" w:element="place">
          <w:r w:rsidRPr="006E0029">
            <w:rPr>
              <w:rFonts w:ascii="Arial" w:hAnsi="Arial" w:cs="Arial"/>
              <w:noProof/>
              <w:sz w:val="18"/>
              <w:szCs w:val="18"/>
              <w:lang w:val="en-US"/>
            </w:rPr>
            <w:t>Germany</w:t>
          </w:r>
        </w:smartTag>
      </w:smartTag>
    </w:p>
    <w:p w:rsidR="00CB6D63" w:rsidRPr="006E0029" w:rsidRDefault="00CB6D63" w:rsidP="004F31AF">
      <w:pPr>
        <w:rPr>
          <w:rFonts w:ascii="Arial" w:hAnsi="Arial" w:cs="Arial"/>
          <w:noProof/>
          <w:sz w:val="18"/>
          <w:szCs w:val="18"/>
          <w:lang w:val="en-US"/>
        </w:rPr>
      </w:pPr>
    </w:p>
    <w:p w:rsidR="00CB6D63" w:rsidRPr="00DD1AE5" w:rsidRDefault="00CB6D63" w:rsidP="00096948">
      <w:pPr>
        <w:rPr>
          <w:rFonts w:ascii="Calibri" w:hAnsi="Calibri" w:cs="Arial"/>
          <w:color w:val="000000"/>
          <w:sz w:val="22"/>
          <w:szCs w:val="22"/>
          <w:lang w:val="en-GB"/>
        </w:rPr>
      </w:pPr>
      <w:r w:rsidRPr="006E0029">
        <w:rPr>
          <w:rFonts w:ascii="Arial" w:hAnsi="Arial" w:cs="Arial"/>
          <w:noProof/>
          <w:sz w:val="18"/>
          <w:szCs w:val="18"/>
          <w:lang w:val="en-US"/>
        </w:rPr>
        <w:t>mulder@recetox.muni.cz</w:t>
      </w:r>
      <w:r w:rsidRPr="00DD1AE5">
        <w:rPr>
          <w:rFonts w:ascii="Calibri" w:hAnsi="Calibri" w:cs="Arial"/>
          <w:color w:val="000000"/>
          <w:sz w:val="22"/>
          <w:szCs w:val="22"/>
          <w:lang w:val="en-GB"/>
        </w:rPr>
        <w:t> </w:t>
      </w:r>
    </w:p>
    <w:p w:rsidR="00CB6D63" w:rsidRPr="006E0029" w:rsidRDefault="00CB6D63" w:rsidP="0074539B">
      <w:pPr>
        <w:rPr>
          <w:rFonts w:ascii="Arial" w:hAnsi="Arial" w:cs="Arial"/>
          <w:noProof/>
          <w:sz w:val="18"/>
          <w:szCs w:val="18"/>
          <w:lang w:val="en-US"/>
        </w:rPr>
      </w:pPr>
    </w:p>
    <w:p w:rsidR="00CB6D63" w:rsidRPr="006E0029" w:rsidRDefault="00CB6D63">
      <w:pPr>
        <w:rPr>
          <w:lang w:val="en-US"/>
        </w:rPr>
      </w:pPr>
    </w:p>
    <w:p w:rsidR="00CB6D63" w:rsidRPr="004B2CE5" w:rsidRDefault="00CB6D63" w:rsidP="0045567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The eastern </w:t>
      </w:r>
      <w:smartTag w:uri="urn:schemas-microsoft-com:office:smarttags" w:element="place">
        <w:r w:rsidRPr="0074539B">
          <w:rPr>
            <w:rFonts w:ascii="Arial" w:hAnsi="Arial" w:cs="Arial"/>
            <w:noProof/>
            <w:sz w:val="20"/>
            <w:szCs w:val="20"/>
            <w:lang w:val="en-US"/>
          </w:rPr>
          <w:t>Mediterranean</w:t>
        </w:r>
      </w:smartTag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 is a receptor area for pollutants originating from central and eastern Europe. Analyses of long-range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atmospheric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 transport can reveal source-receptor relationships. During transport, </w:t>
      </w:r>
      <w:r>
        <w:rPr>
          <w:rFonts w:ascii="Arial" w:hAnsi="Arial" w:cs="Arial"/>
          <w:noProof/>
          <w:sz w:val="20"/>
          <w:szCs w:val="20"/>
          <w:lang w:val="en-US"/>
        </w:rPr>
        <w:t>photochemistry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 can significantly alternate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substance or 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congener patterns </w:t>
      </w:r>
      <w:r>
        <w:rPr>
          <w:rFonts w:ascii="Arial" w:hAnsi="Arial" w:cs="Arial"/>
          <w:noProof/>
          <w:sz w:val="20"/>
          <w:szCs w:val="20"/>
          <w:lang w:val="en-US"/>
        </w:rPr>
        <w:t>o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f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polycyclic aromatic hydrocarbons (PAHs) or 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>persistent organic pollutant</w:t>
      </w:r>
      <w:r>
        <w:rPr>
          <w:rFonts w:ascii="Arial" w:hAnsi="Arial" w:cs="Arial"/>
          <w:noProof/>
          <w:sz w:val="20"/>
          <w:szCs w:val="20"/>
          <w:lang w:val="en-US"/>
        </w:rPr>
        <w:t>s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 (POPs)</w:t>
      </w:r>
      <w:r>
        <w:rPr>
          <w:rFonts w:ascii="Arial" w:hAnsi="Arial" w:cs="Arial"/>
          <w:noProof/>
          <w:sz w:val="20"/>
          <w:szCs w:val="20"/>
          <w:lang w:val="en-US"/>
        </w:rPr>
        <w:t>, such as polychlorinated biphenyls (PCBs) and polybrominated diphenylethers (PBDEs)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>
        <w:rPr>
          <w:rFonts w:ascii="Arial" w:hAnsi="Arial" w:cs="Arial"/>
          <w:noProof/>
          <w:sz w:val="20"/>
          <w:szCs w:val="20"/>
          <w:lang w:val="en-US"/>
        </w:rPr>
        <w:t>Photochemistry of selected PAHs, PCBs and PBDEs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is studied by 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>simulat</w:t>
      </w:r>
      <w:r>
        <w:rPr>
          <w:rFonts w:ascii="Arial" w:hAnsi="Arial" w:cs="Arial"/>
          <w:noProof/>
          <w:sz w:val="20"/>
          <w:szCs w:val="20"/>
          <w:lang w:val="en-US"/>
        </w:rPr>
        <w:t>ion of transport episodes and comparison with observations at the ground</w:t>
      </w:r>
      <w:r w:rsidRPr="004B2CE5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</w:p>
    <w:p w:rsidR="00CB6D63" w:rsidRDefault="00CB6D63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CB6D63" w:rsidRPr="002B63C0" w:rsidRDefault="00CB6D63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In July 2012 low pollutant levels were determined at the remote site Finokalia, northern coast of Crete, i.e., 0.5 ng m</w:t>
      </w:r>
      <w:r w:rsidRPr="0078727C">
        <w:rPr>
          <w:rFonts w:ascii="Arial" w:hAnsi="Arial" w:cs="Arial"/>
          <w:noProof/>
          <w:sz w:val="20"/>
          <w:szCs w:val="20"/>
          <w:vertAlign w:val="superscript"/>
          <w:lang w:val="en-US"/>
        </w:rPr>
        <w:t>-3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Σ</w:t>
      </w:r>
      <w:r>
        <w:rPr>
          <w:rFonts w:ascii="Arial" w:hAnsi="Arial" w:cs="Arial"/>
          <w:noProof/>
          <w:sz w:val="20"/>
          <w:szCs w:val="20"/>
          <w:vertAlign w:val="subscript"/>
          <w:lang w:val="en-US"/>
        </w:rPr>
        <w:t>15</w:t>
      </w:r>
      <w:r>
        <w:rPr>
          <w:rFonts w:ascii="Arial" w:hAnsi="Arial" w:cs="Arial"/>
          <w:noProof/>
          <w:sz w:val="20"/>
          <w:szCs w:val="20"/>
          <w:lang w:val="en-US"/>
        </w:rPr>
        <w:t>PAH, 50 pg m</w:t>
      </w:r>
      <w:r w:rsidRPr="00A13648">
        <w:rPr>
          <w:rFonts w:ascii="Arial" w:hAnsi="Arial" w:cs="Arial"/>
          <w:noProof/>
          <w:sz w:val="20"/>
          <w:szCs w:val="20"/>
          <w:vertAlign w:val="superscript"/>
          <w:lang w:val="en-US"/>
        </w:rPr>
        <w:t>-3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Σ</w:t>
      </w:r>
      <w:r w:rsidRPr="00A13648">
        <w:rPr>
          <w:rFonts w:ascii="Arial" w:hAnsi="Arial" w:cs="Arial"/>
          <w:noProof/>
          <w:sz w:val="20"/>
          <w:szCs w:val="20"/>
          <w:vertAlign w:val="subscript"/>
          <w:lang w:val="en-US"/>
        </w:rPr>
        <w:t>7</w:t>
      </w:r>
      <w:r>
        <w:rPr>
          <w:rFonts w:ascii="Arial" w:hAnsi="Arial" w:cs="Arial"/>
          <w:noProof/>
          <w:sz w:val="20"/>
          <w:szCs w:val="20"/>
          <w:lang w:val="en-US"/>
        </w:rPr>
        <w:t>PCB and 1.4 pg m</w:t>
      </w:r>
      <w:r w:rsidRPr="00A13648">
        <w:rPr>
          <w:rFonts w:ascii="Arial" w:hAnsi="Arial" w:cs="Arial"/>
          <w:noProof/>
          <w:sz w:val="20"/>
          <w:szCs w:val="20"/>
          <w:vertAlign w:val="superscript"/>
          <w:lang w:val="en-US"/>
        </w:rPr>
        <w:t>-3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Σ</w:t>
      </w:r>
      <w:r>
        <w:rPr>
          <w:rFonts w:ascii="Arial" w:hAnsi="Arial" w:cs="Arial"/>
          <w:noProof/>
          <w:sz w:val="20"/>
          <w:szCs w:val="20"/>
          <w:vertAlign w:val="subscript"/>
          <w:lang w:val="en-US"/>
        </w:rPr>
        <w:t>10</w:t>
      </w:r>
      <w:r>
        <w:rPr>
          <w:rFonts w:ascii="Arial" w:hAnsi="Arial" w:cs="Arial"/>
          <w:noProof/>
          <w:sz w:val="20"/>
          <w:szCs w:val="20"/>
          <w:lang w:val="en-US"/>
        </w:rPr>
        <w:t>PBDE, using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 high-volume air sampl</w:t>
      </w:r>
      <w:r>
        <w:rPr>
          <w:rFonts w:ascii="Arial" w:hAnsi="Arial" w:cs="Arial"/>
          <w:noProof/>
          <w:sz w:val="20"/>
          <w:szCs w:val="20"/>
          <w:lang w:val="en-US"/>
        </w:rPr>
        <w:t>ing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 and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off-line chemical 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>analys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is (GC-MS). 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>With the Lagrangian particle dispersion model FLEXPART-WRF, several episodes were identified dur</w:t>
      </w:r>
      <w:r>
        <w:rPr>
          <w:rFonts w:ascii="Arial" w:hAnsi="Arial" w:cs="Arial"/>
          <w:noProof/>
          <w:sz w:val="20"/>
          <w:szCs w:val="20"/>
          <w:lang w:val="en-US"/>
        </w:rPr>
        <w:t>ing which the air sampled had passed over major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 source area</w:t>
      </w:r>
      <w:r>
        <w:rPr>
          <w:rFonts w:ascii="Arial" w:hAnsi="Arial" w:cs="Arial"/>
          <w:noProof/>
          <w:sz w:val="20"/>
          <w:szCs w:val="20"/>
          <w:lang w:val="en-US"/>
        </w:rPr>
        <w:t>s in the region i.e.,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smartTag w:uri="urn:schemas-microsoft-com:office:smarttags" w:element="place">
        <w:r w:rsidRPr="0074539B">
          <w:rPr>
            <w:rFonts w:ascii="Arial" w:hAnsi="Arial" w:cs="Arial"/>
            <w:noProof/>
            <w:sz w:val="20"/>
            <w:szCs w:val="20"/>
            <w:lang w:val="en-US"/>
          </w:rPr>
          <w:t>Athens</w:t>
        </w:r>
      </w:smartTag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 or </w:t>
      </w:r>
      <w:smartTag w:uri="urn:schemas-microsoft-com:office:smarttags" w:element="place">
        <w:r w:rsidRPr="0074539B">
          <w:rPr>
            <w:rFonts w:ascii="Arial" w:hAnsi="Arial" w:cs="Arial"/>
            <w:noProof/>
            <w:sz w:val="20"/>
            <w:szCs w:val="20"/>
            <w:lang w:val="en-US"/>
          </w:rPr>
          <w:t>Izmir</w:t>
        </w:r>
      </w:smartTag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).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In 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these </w:t>
      </w:r>
      <w:r>
        <w:rPr>
          <w:rFonts w:ascii="Arial" w:hAnsi="Arial" w:cs="Arial"/>
          <w:noProof/>
          <w:sz w:val="20"/>
          <w:szCs w:val="20"/>
          <w:lang w:val="en-US"/>
        </w:rPr>
        <w:t>source areas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 air was sampled </w:t>
      </w:r>
      <w:r>
        <w:rPr>
          <w:rFonts w:ascii="Arial" w:hAnsi="Arial" w:cs="Arial"/>
          <w:noProof/>
          <w:sz w:val="20"/>
          <w:szCs w:val="20"/>
          <w:lang w:val="en-US"/>
        </w:rPr>
        <w:t>simultaneously as part of the same field campaign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>. For these two transport paths, the chemical and physical degradation processes are simulated by a Lagrangian travelling box model (1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>hour and 1 km resolution</w:t>
      </w:r>
      <w:r>
        <w:rPr>
          <w:rFonts w:ascii="Arial" w:hAnsi="Arial" w:cs="Arial"/>
          <w:noProof/>
          <w:sz w:val="20"/>
          <w:szCs w:val="20"/>
          <w:lang w:val="en-US"/>
        </w:rPr>
        <w:t>s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). The inputs of the model </w:t>
      </w:r>
      <w:r>
        <w:rPr>
          <w:rFonts w:ascii="Arial" w:hAnsi="Arial" w:cs="Arial"/>
          <w:noProof/>
          <w:sz w:val="20"/>
          <w:szCs w:val="20"/>
          <w:lang w:val="en-US"/>
        </w:rPr>
        <w:t>include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 meteorolog</w:t>
      </w:r>
      <w:r>
        <w:rPr>
          <w:rFonts w:ascii="Arial" w:hAnsi="Arial" w:cs="Arial"/>
          <w:noProof/>
          <w:sz w:val="20"/>
          <w:szCs w:val="20"/>
          <w:lang w:val="en-US"/>
        </w:rPr>
        <w:t>ical parameters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 along a clustered trajectory, from FLEXPART-WRF, and fields of relevant radicals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and oxidants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 (OH, O</w:t>
      </w:r>
      <w:r w:rsidRPr="00C33F2B">
        <w:rPr>
          <w:rFonts w:ascii="Arial" w:hAnsi="Arial" w:cs="Arial"/>
          <w:noProof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noProof/>
          <w:sz w:val="20"/>
          <w:szCs w:val="20"/>
          <w:vertAlign w:val="subscript"/>
          <w:lang w:val="en-US"/>
        </w:rPr>
        <w:t>,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NO</w:t>
      </w:r>
      <w:r w:rsidRPr="00DB5FAC">
        <w:rPr>
          <w:rFonts w:ascii="Arial" w:hAnsi="Arial" w:cs="Arial"/>
          <w:noProof/>
          <w:sz w:val="20"/>
          <w:szCs w:val="20"/>
          <w:vertAlign w:val="subscript"/>
          <w:lang w:val="en-US"/>
        </w:rPr>
        <w:t>2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>and NO</w:t>
      </w:r>
      <w:r w:rsidRPr="00C33F2B">
        <w:rPr>
          <w:rFonts w:ascii="Arial" w:hAnsi="Arial" w:cs="Arial"/>
          <w:noProof/>
          <w:sz w:val="20"/>
          <w:szCs w:val="20"/>
          <w:vertAlign w:val="subscript"/>
          <w:lang w:val="en-US"/>
        </w:rPr>
        <w:t>3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>)</w:t>
      </w:r>
      <w:r>
        <w:rPr>
          <w:rFonts w:ascii="Arial" w:hAnsi="Arial" w:cs="Arial"/>
          <w:noProof/>
          <w:sz w:val="20"/>
          <w:szCs w:val="20"/>
          <w:lang w:val="en-US"/>
        </w:rPr>
        <w:t>,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 provided by </w:t>
      </w:r>
      <w:r>
        <w:rPr>
          <w:rFonts w:ascii="Arial" w:hAnsi="Arial" w:cs="Arial"/>
          <w:noProof/>
          <w:sz w:val="20"/>
          <w:szCs w:val="20"/>
          <w:lang w:val="en-US"/>
        </w:rPr>
        <w:t>an Eulerian model,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the Community Multi-scale Air Quality (CMAQ) model. </w:t>
      </w:r>
      <w:r>
        <w:rPr>
          <w:rFonts w:ascii="Arial" w:hAnsi="Arial" w:cs="Arial"/>
          <w:noProof/>
          <w:sz w:val="20"/>
          <w:szCs w:val="20"/>
          <w:lang w:val="en-US"/>
        </w:rPr>
        <w:t>Oxidants precursor emissions are</w:t>
      </w:r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 from the Sparse Matrix Operator Kernel Emissions for </w:t>
      </w:r>
      <w:smartTag w:uri="urn:schemas-microsoft-com:office:smarttags" w:element="place">
        <w:r w:rsidRPr="0074539B">
          <w:rPr>
            <w:rFonts w:ascii="Arial" w:hAnsi="Arial" w:cs="Arial"/>
            <w:noProof/>
            <w:sz w:val="20"/>
            <w:szCs w:val="20"/>
            <w:lang w:val="en-US"/>
          </w:rPr>
          <w:t>Europe</w:t>
        </w:r>
      </w:smartTag>
      <w:r w:rsidRPr="0074539B">
        <w:rPr>
          <w:rFonts w:ascii="Arial" w:hAnsi="Arial" w:cs="Arial"/>
          <w:noProof/>
          <w:sz w:val="20"/>
          <w:szCs w:val="20"/>
          <w:lang w:val="en-US"/>
        </w:rPr>
        <w:t xml:space="preserve"> (SMOKE-EU)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model.</w:t>
      </w:r>
      <w:r w:rsidRPr="001F481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For heterogeneous chemistry of PAHs, the availability for gas-particle partitioning and aerosol composition and mixing type will be accounted for.</w:t>
      </w:r>
    </w:p>
    <w:p w:rsidR="00CB6D63" w:rsidRPr="002B63C0" w:rsidRDefault="00CB6D63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sectPr w:rsidR="00CB6D63" w:rsidRPr="002B63C0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F40"/>
    <w:rsid w:val="00096948"/>
    <w:rsid w:val="000F7DDD"/>
    <w:rsid w:val="00111612"/>
    <w:rsid w:val="001A6F72"/>
    <w:rsid w:val="001F4812"/>
    <w:rsid w:val="00241318"/>
    <w:rsid w:val="0029730E"/>
    <w:rsid w:val="002B63C0"/>
    <w:rsid w:val="002C4C77"/>
    <w:rsid w:val="0030137B"/>
    <w:rsid w:val="0032346F"/>
    <w:rsid w:val="003538B4"/>
    <w:rsid w:val="00455675"/>
    <w:rsid w:val="00455DBB"/>
    <w:rsid w:val="00474FE4"/>
    <w:rsid w:val="004B2CE5"/>
    <w:rsid w:val="004E2A97"/>
    <w:rsid w:val="004F31AF"/>
    <w:rsid w:val="004F3F40"/>
    <w:rsid w:val="00536439"/>
    <w:rsid w:val="005B5F11"/>
    <w:rsid w:val="0062043D"/>
    <w:rsid w:val="006433E6"/>
    <w:rsid w:val="006E0029"/>
    <w:rsid w:val="0074539B"/>
    <w:rsid w:val="00781E62"/>
    <w:rsid w:val="0078727C"/>
    <w:rsid w:val="007A40DD"/>
    <w:rsid w:val="008423D6"/>
    <w:rsid w:val="008825B4"/>
    <w:rsid w:val="008C47B6"/>
    <w:rsid w:val="008E1BB9"/>
    <w:rsid w:val="009B473C"/>
    <w:rsid w:val="00A13648"/>
    <w:rsid w:val="00A14808"/>
    <w:rsid w:val="00A34C75"/>
    <w:rsid w:val="00A377E4"/>
    <w:rsid w:val="00A4450B"/>
    <w:rsid w:val="00AE42CD"/>
    <w:rsid w:val="00B10E8D"/>
    <w:rsid w:val="00B150B1"/>
    <w:rsid w:val="00B7154E"/>
    <w:rsid w:val="00BA4060"/>
    <w:rsid w:val="00BA76DF"/>
    <w:rsid w:val="00BB4B2A"/>
    <w:rsid w:val="00BB51C3"/>
    <w:rsid w:val="00BB6C7A"/>
    <w:rsid w:val="00BC5BF1"/>
    <w:rsid w:val="00C22D80"/>
    <w:rsid w:val="00C33F2B"/>
    <w:rsid w:val="00C54F4B"/>
    <w:rsid w:val="00C72CF5"/>
    <w:rsid w:val="00CB6D63"/>
    <w:rsid w:val="00CD210F"/>
    <w:rsid w:val="00D1621E"/>
    <w:rsid w:val="00D2223F"/>
    <w:rsid w:val="00DB5FAC"/>
    <w:rsid w:val="00DD1AE5"/>
    <w:rsid w:val="00DF6705"/>
    <w:rsid w:val="00DF68BB"/>
    <w:rsid w:val="00E05237"/>
    <w:rsid w:val="00E371EC"/>
    <w:rsid w:val="00EB0327"/>
    <w:rsid w:val="00F41008"/>
    <w:rsid w:val="00F8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4C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14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430</Words>
  <Characters>2714</Characters>
  <Application>Microsoft Office Outlook</Application>
  <DocSecurity>0</DocSecurity>
  <Lines>0</Lines>
  <Paragraphs>0</Paragraphs>
  <ScaleCrop>false</ScaleCrop>
  <Company>Max-Planck-Institut Chemie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subject/>
  <dc:creator>Christiane Wolf cwolf</dc:creator>
  <cp:keywords/>
  <dc:description/>
  <cp:lastModifiedBy>Lammel</cp:lastModifiedBy>
  <cp:revision>2</cp:revision>
  <dcterms:created xsi:type="dcterms:W3CDTF">2015-04-29T06:53:00Z</dcterms:created>
  <dcterms:modified xsi:type="dcterms:W3CDTF">2015-04-29T06:53:00Z</dcterms:modified>
</cp:coreProperties>
</file>