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B9" w:rsidRPr="00826E27" w:rsidRDefault="00F013B9" w:rsidP="007078A1">
      <w:pPr>
        <w:pStyle w:val="Heading3"/>
        <w:spacing w:after="0" w:afterAutospacing="0"/>
        <w:ind w:firstLine="0"/>
        <w:rPr>
          <w:rFonts w:ascii="Arial" w:hAnsi="Arial" w:cs="Arial"/>
          <w:bCs w:val="0"/>
          <w:noProof/>
          <w:sz w:val="28"/>
          <w:szCs w:val="28"/>
          <w:lang w:eastAsia="de-DE"/>
        </w:rPr>
      </w:pPr>
      <w:r w:rsidRPr="00F013B9">
        <w:rPr>
          <w:rFonts w:ascii="Arial" w:hAnsi="Arial" w:cs="Arial"/>
          <w:bCs w:val="0"/>
          <w:noProof/>
          <w:sz w:val="28"/>
          <w:szCs w:val="28"/>
          <w:lang w:val="fr-FR" w:eastAsia="de-DE"/>
        </w:rPr>
        <w:t xml:space="preserve">Chemical and toxicological characterization of </w:t>
      </w:r>
      <w:r w:rsidR="00826E27">
        <w:rPr>
          <w:rFonts w:ascii="Arial" w:hAnsi="Arial" w:cs="Arial"/>
          <w:bCs w:val="0"/>
          <w:noProof/>
          <w:sz w:val="28"/>
          <w:szCs w:val="28"/>
          <w:lang w:val="fr-FR" w:eastAsia="de-DE"/>
        </w:rPr>
        <w:t xml:space="preserve">the </w:t>
      </w:r>
      <w:r w:rsidRPr="00F013B9">
        <w:rPr>
          <w:rFonts w:ascii="Arial" w:hAnsi="Arial" w:cs="Arial"/>
          <w:bCs w:val="0"/>
          <w:noProof/>
          <w:sz w:val="28"/>
          <w:szCs w:val="28"/>
          <w:lang w:val="fr-FR" w:eastAsia="de-DE"/>
        </w:rPr>
        <w:t xml:space="preserve">water soluble </w:t>
      </w:r>
      <w:r w:rsidR="00826E27">
        <w:rPr>
          <w:rFonts w:ascii="Arial" w:hAnsi="Arial" w:cs="Arial"/>
          <w:bCs w:val="0"/>
          <w:noProof/>
          <w:sz w:val="28"/>
          <w:szCs w:val="28"/>
          <w:lang w:val="fr-FR" w:eastAsia="de-DE"/>
        </w:rPr>
        <w:t xml:space="preserve">fraction of </w:t>
      </w:r>
      <w:r w:rsidRPr="00F013B9">
        <w:rPr>
          <w:rFonts w:ascii="Arial" w:hAnsi="Arial" w:cs="Arial"/>
          <w:bCs w:val="0"/>
          <w:noProof/>
          <w:sz w:val="28"/>
          <w:szCs w:val="28"/>
          <w:lang w:val="fr-FR" w:eastAsia="de-DE"/>
        </w:rPr>
        <w:t xml:space="preserve">size-resolved urban particulate matter </w:t>
      </w:r>
    </w:p>
    <w:p w:rsidR="00F013B9" w:rsidRPr="00826E27" w:rsidRDefault="00F013B9" w:rsidP="007078A1">
      <w:pPr>
        <w:pStyle w:val="Heading3"/>
        <w:spacing w:after="0" w:afterAutospacing="0"/>
        <w:ind w:firstLine="0"/>
        <w:rPr>
          <w:rFonts w:ascii="Arial" w:hAnsi="Arial" w:cs="Arial"/>
          <w:bCs w:val="0"/>
          <w:noProof/>
          <w:sz w:val="32"/>
          <w:szCs w:val="32"/>
          <w:lang w:eastAsia="de-DE"/>
        </w:rPr>
      </w:pPr>
    </w:p>
    <w:p w:rsidR="00826E27" w:rsidRDefault="00F013B9" w:rsidP="00F87708">
      <w:pPr>
        <w:spacing w:after="0" w:line="240" w:lineRule="auto"/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</w:pPr>
      <w:r w:rsidRPr="00F013B9"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t>S. Planou</w:t>
      </w:r>
      <w:r w:rsidRPr="00F013B9">
        <w:rPr>
          <w:rFonts w:ascii="Arial" w:eastAsia="Times New Roman" w:hAnsi="Arial" w:cs="Arial"/>
          <w:smallCaps/>
          <w:noProof/>
          <w:sz w:val="24"/>
          <w:szCs w:val="24"/>
          <w:vertAlign w:val="superscript"/>
          <w:lang w:val="en-US" w:eastAsia="de-DE"/>
        </w:rPr>
        <w:t>1</w:t>
      </w:r>
      <w:r w:rsidRPr="00F013B9"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t>, A. Kouras</w:t>
      </w:r>
      <w:r w:rsidRPr="00F013B9">
        <w:rPr>
          <w:rFonts w:ascii="Arial" w:eastAsia="Times New Roman" w:hAnsi="Arial" w:cs="Arial"/>
          <w:smallCaps/>
          <w:noProof/>
          <w:sz w:val="24"/>
          <w:szCs w:val="24"/>
          <w:vertAlign w:val="superscript"/>
          <w:lang w:val="en-US" w:eastAsia="de-DE"/>
        </w:rPr>
        <w:t>1</w:t>
      </w:r>
      <w:r w:rsidRPr="00F013B9"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t>, E. Manoli</w:t>
      </w:r>
      <w:r w:rsidRPr="00F013B9">
        <w:rPr>
          <w:rFonts w:ascii="Arial" w:eastAsia="Times New Roman" w:hAnsi="Arial" w:cs="Arial"/>
          <w:smallCaps/>
          <w:noProof/>
          <w:sz w:val="24"/>
          <w:szCs w:val="24"/>
          <w:vertAlign w:val="superscript"/>
          <w:lang w:val="en-US" w:eastAsia="de-DE"/>
        </w:rPr>
        <w:t>1</w:t>
      </w:r>
      <w:r w:rsidRPr="00F013B9"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t xml:space="preserve">, </w:t>
      </w:r>
      <w:r w:rsidR="00C13569" w:rsidRPr="00F013B9"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t>A. Besis</w:t>
      </w:r>
      <w:r w:rsidR="00C13569" w:rsidRPr="00F013B9">
        <w:rPr>
          <w:rFonts w:ascii="Arial" w:eastAsia="Times New Roman" w:hAnsi="Arial" w:cs="Arial"/>
          <w:smallCaps/>
          <w:noProof/>
          <w:sz w:val="24"/>
          <w:szCs w:val="24"/>
          <w:vertAlign w:val="superscript"/>
          <w:lang w:val="en-US" w:eastAsia="de-DE"/>
        </w:rPr>
        <w:t>1</w:t>
      </w:r>
      <w:r w:rsidR="00C13569" w:rsidRPr="00F013B9"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t xml:space="preserve">, </w:t>
      </w:r>
      <w:r w:rsidRPr="00F013B9"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t>D. Voutsa</w:t>
      </w:r>
      <w:r w:rsidRPr="00F013B9">
        <w:rPr>
          <w:rFonts w:ascii="Arial" w:eastAsia="Times New Roman" w:hAnsi="Arial" w:cs="Arial"/>
          <w:smallCaps/>
          <w:noProof/>
          <w:sz w:val="24"/>
          <w:szCs w:val="24"/>
          <w:vertAlign w:val="superscript"/>
          <w:lang w:val="en-US" w:eastAsia="de-DE"/>
        </w:rPr>
        <w:t>1</w:t>
      </w:r>
      <w:r w:rsidRPr="00F013B9"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t xml:space="preserve">, </w:t>
      </w:r>
      <w:r w:rsidRPr="00F87708">
        <w:rPr>
          <w:rFonts w:ascii="Arial" w:eastAsia="Times New Roman" w:hAnsi="Arial" w:cs="Arial"/>
          <w:smallCaps/>
          <w:noProof/>
          <w:sz w:val="24"/>
          <w:szCs w:val="24"/>
          <w:u w:val="single"/>
          <w:lang w:val="en-US" w:eastAsia="de-DE"/>
        </w:rPr>
        <w:t>C. Samara</w:t>
      </w:r>
      <w:r w:rsidRPr="00F87708">
        <w:rPr>
          <w:rFonts w:ascii="Arial" w:eastAsia="Times New Roman" w:hAnsi="Arial" w:cs="Arial"/>
          <w:smallCaps/>
          <w:noProof/>
          <w:sz w:val="24"/>
          <w:szCs w:val="24"/>
          <w:u w:val="single"/>
          <w:vertAlign w:val="superscript"/>
          <w:lang w:val="en-US" w:eastAsia="de-DE"/>
        </w:rPr>
        <w:t>1</w:t>
      </w:r>
      <w:r w:rsidRPr="00F013B9"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t>,</w:t>
      </w:r>
      <w:r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t xml:space="preserve"> </w:t>
      </w:r>
      <w:r w:rsidRPr="00F013B9"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t xml:space="preserve"> E. Velali</w:t>
      </w:r>
      <w:r>
        <w:rPr>
          <w:rFonts w:ascii="Arial" w:eastAsia="Times New Roman" w:hAnsi="Arial" w:cs="Arial"/>
          <w:smallCaps/>
          <w:noProof/>
          <w:sz w:val="24"/>
          <w:szCs w:val="24"/>
          <w:vertAlign w:val="superscript"/>
          <w:lang w:val="en-US" w:eastAsia="de-DE"/>
        </w:rPr>
        <w:t>2</w:t>
      </w:r>
      <w:r w:rsidRPr="00F013B9"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t>, E. Papachristou</w:t>
      </w:r>
      <w:r>
        <w:rPr>
          <w:rFonts w:ascii="Arial" w:eastAsia="Times New Roman" w:hAnsi="Arial" w:cs="Arial"/>
          <w:smallCaps/>
          <w:noProof/>
          <w:sz w:val="24"/>
          <w:szCs w:val="24"/>
          <w:vertAlign w:val="superscript"/>
          <w:lang w:val="en-US" w:eastAsia="de-DE"/>
        </w:rPr>
        <w:t>2</w:t>
      </w:r>
      <w:r w:rsidRPr="00F013B9"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t>, A. A. Pantazaki</w:t>
      </w:r>
      <w:r>
        <w:rPr>
          <w:rFonts w:ascii="Arial" w:eastAsia="Times New Roman" w:hAnsi="Arial" w:cs="Arial"/>
          <w:smallCaps/>
          <w:noProof/>
          <w:sz w:val="24"/>
          <w:szCs w:val="24"/>
          <w:vertAlign w:val="superscript"/>
          <w:lang w:val="en-US" w:eastAsia="de-DE"/>
        </w:rPr>
        <w:t>2</w:t>
      </w:r>
      <w:r w:rsidRPr="00F013B9"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t>, T. Choli-Papadopoulou</w:t>
      </w:r>
      <w:r>
        <w:rPr>
          <w:rFonts w:ascii="Arial" w:eastAsia="Times New Roman" w:hAnsi="Arial" w:cs="Arial"/>
          <w:smallCaps/>
          <w:noProof/>
          <w:sz w:val="24"/>
          <w:szCs w:val="24"/>
          <w:vertAlign w:val="superscript"/>
          <w:lang w:val="en-US" w:eastAsia="de-DE"/>
        </w:rPr>
        <w:t>2</w:t>
      </w:r>
      <w:r w:rsidRPr="00F013B9"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t>,</w:t>
      </w:r>
      <w:r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t xml:space="preserve"> </w:t>
      </w:r>
      <w:r w:rsidRPr="00F013B9"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t>N. Argyrou</w:t>
      </w:r>
      <w:r w:rsidR="00F87708">
        <w:rPr>
          <w:rFonts w:ascii="Arial" w:eastAsia="Times New Roman" w:hAnsi="Arial" w:cs="Arial"/>
          <w:smallCaps/>
          <w:noProof/>
          <w:sz w:val="24"/>
          <w:szCs w:val="24"/>
          <w:vertAlign w:val="superscript"/>
          <w:lang w:val="en-US" w:eastAsia="de-DE"/>
        </w:rPr>
        <w:t>3</w:t>
      </w:r>
      <w:r w:rsidRPr="00F013B9"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t>, E. Dafa</w:t>
      </w:r>
      <w:r>
        <w:rPr>
          <w:rFonts w:ascii="Arial" w:eastAsia="Times New Roman" w:hAnsi="Arial" w:cs="Arial"/>
          <w:smallCaps/>
          <w:noProof/>
          <w:sz w:val="24"/>
          <w:szCs w:val="24"/>
          <w:vertAlign w:val="superscript"/>
          <w:lang w:val="en-US" w:eastAsia="de-DE"/>
        </w:rPr>
        <w:t>3</w:t>
      </w:r>
      <w:r w:rsidRPr="00F013B9"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t xml:space="preserve">, </w:t>
      </w:r>
    </w:p>
    <w:p w:rsidR="00F013B9" w:rsidRDefault="00F013B9" w:rsidP="00F87708">
      <w:pPr>
        <w:spacing w:after="0" w:line="240" w:lineRule="auto"/>
        <w:rPr>
          <w:rFonts w:ascii="Arial" w:eastAsia="Times New Roman" w:hAnsi="Arial" w:cs="Arial"/>
          <w:smallCaps/>
          <w:noProof/>
          <w:sz w:val="24"/>
          <w:szCs w:val="24"/>
          <w:vertAlign w:val="superscript"/>
          <w:lang w:val="en-US" w:eastAsia="de-DE"/>
        </w:rPr>
      </w:pPr>
      <w:r w:rsidRPr="00F013B9"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t>T. S. Lialiaris</w:t>
      </w:r>
      <w:r>
        <w:rPr>
          <w:rFonts w:ascii="Arial" w:eastAsia="Times New Roman" w:hAnsi="Arial" w:cs="Arial"/>
          <w:smallCaps/>
          <w:noProof/>
          <w:sz w:val="24"/>
          <w:szCs w:val="24"/>
          <w:vertAlign w:val="superscript"/>
          <w:lang w:val="en-US" w:eastAsia="de-DE"/>
        </w:rPr>
        <w:t>3</w:t>
      </w:r>
    </w:p>
    <w:p w:rsidR="00F87708" w:rsidRPr="00F87708" w:rsidRDefault="00F87708" w:rsidP="00F87708">
      <w:pPr>
        <w:spacing w:after="0" w:line="240" w:lineRule="auto"/>
        <w:rPr>
          <w:rFonts w:ascii="Arial" w:eastAsia="Times New Roman" w:hAnsi="Arial" w:cs="Arial"/>
          <w:smallCaps/>
          <w:noProof/>
          <w:sz w:val="20"/>
          <w:szCs w:val="20"/>
          <w:lang w:val="en-US" w:eastAsia="de-DE"/>
        </w:rPr>
      </w:pPr>
    </w:p>
    <w:p w:rsidR="00F013B9" w:rsidRPr="00F013B9" w:rsidRDefault="00F013B9" w:rsidP="00F87708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val="de-DE" w:eastAsia="de-DE"/>
        </w:rPr>
      </w:pPr>
      <w:r>
        <w:rPr>
          <w:rFonts w:eastAsia="Arial Unicode MS"/>
          <w:vertAlign w:val="superscript"/>
          <w:lang w:val="en-US"/>
        </w:rPr>
        <w:t xml:space="preserve">2 </w:t>
      </w:r>
      <w:r w:rsidRPr="00F013B9">
        <w:rPr>
          <w:rFonts w:ascii="Arial" w:eastAsia="Times New Roman" w:hAnsi="Arial" w:cs="Arial"/>
          <w:noProof/>
          <w:sz w:val="18"/>
          <w:szCs w:val="18"/>
          <w:lang w:val="de-DE" w:eastAsia="de-DE"/>
        </w:rPr>
        <w:t>Environmental Pollution Control Laboratory, Department of Chemistry, Aristotle University of Thessaloniki, GR-54124 Thessaloniki Greece, csamara@chem.auth.gr</w:t>
      </w:r>
    </w:p>
    <w:p w:rsidR="00F013B9" w:rsidRPr="00F013B9" w:rsidRDefault="00F013B9" w:rsidP="00F013B9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val="de-DE" w:eastAsia="de-DE"/>
        </w:rPr>
      </w:pPr>
      <w:r>
        <w:rPr>
          <w:rFonts w:eastAsia="Arial Unicode MS"/>
          <w:vertAlign w:val="superscript"/>
          <w:lang w:val="en-US"/>
        </w:rPr>
        <w:t xml:space="preserve">2 </w:t>
      </w:r>
      <w:r w:rsidRPr="00F013B9">
        <w:rPr>
          <w:rFonts w:ascii="Arial" w:eastAsia="Times New Roman" w:hAnsi="Arial" w:cs="Arial"/>
          <w:noProof/>
          <w:sz w:val="18"/>
          <w:szCs w:val="18"/>
          <w:lang w:val="de-DE" w:eastAsia="de-DE"/>
        </w:rPr>
        <w:t>Laboratory of Biochemistry, Department of Chemistry, Aristotle University of Thessaloniki, GR-54124 Thessaloniki Greece, natasa@chem.auth.gr</w:t>
      </w:r>
    </w:p>
    <w:p w:rsidR="002A60D8" w:rsidRDefault="00F013B9" w:rsidP="002A60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val="de-DE" w:eastAsia="de-DE"/>
        </w:rPr>
      </w:pPr>
      <w:r w:rsidRPr="00F013B9">
        <w:rPr>
          <w:rFonts w:ascii="Arial-ItalicMT" w:hAnsi="Arial-ItalicMT" w:cs="Arial-ItalicMT"/>
          <w:i/>
          <w:iCs/>
          <w:sz w:val="18"/>
          <w:szCs w:val="18"/>
          <w:vertAlign w:val="superscript"/>
          <w:lang w:val="en-US"/>
        </w:rPr>
        <w:t>2</w:t>
      </w:r>
      <w:r w:rsidRPr="00F013B9">
        <w:rPr>
          <w:rFonts w:ascii="Arial-ItalicMT" w:hAnsi="Arial-ItalicMT" w:cs="Arial-ItalicMT"/>
          <w:i/>
          <w:iCs/>
          <w:sz w:val="18"/>
          <w:szCs w:val="18"/>
          <w:lang w:val="en-US"/>
        </w:rPr>
        <w:t xml:space="preserve"> </w:t>
      </w:r>
      <w:r w:rsidRPr="00F013B9">
        <w:rPr>
          <w:rFonts w:ascii="Arial" w:eastAsia="Times New Roman" w:hAnsi="Arial" w:cs="Arial"/>
          <w:noProof/>
          <w:sz w:val="18"/>
          <w:szCs w:val="18"/>
          <w:lang w:val="de-DE" w:eastAsia="de-DE"/>
        </w:rPr>
        <w:t>Department of Molecular Biology and Genetic, Demokritos University Thrace, Alexandroupolis, Greece, lialiari@med.duth.gr</w:t>
      </w:r>
      <w:bookmarkStart w:id="0" w:name="_GoBack"/>
    </w:p>
    <w:p w:rsidR="002A60D8" w:rsidRPr="002A60D8" w:rsidRDefault="002A60D8" w:rsidP="002A60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de-DE" w:eastAsia="de-DE"/>
        </w:rPr>
      </w:pPr>
    </w:p>
    <w:p w:rsidR="007E4D62" w:rsidRDefault="002A60D8" w:rsidP="007E4D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de-DE" w:eastAsia="de-DE"/>
        </w:rPr>
      </w:pPr>
      <w:r w:rsidRPr="00222F6B">
        <w:rPr>
          <w:rFonts w:ascii="Arial" w:hAnsi="Arial" w:cs="Arial"/>
          <w:sz w:val="20"/>
          <w:szCs w:val="20"/>
          <w:lang w:val="en-GB"/>
        </w:rPr>
        <w:t xml:space="preserve">Chemical and toxicological characterization of </w:t>
      </w:r>
      <w:r w:rsidR="00826E27">
        <w:rPr>
          <w:rFonts w:ascii="Arial" w:hAnsi="Arial" w:cs="Arial"/>
          <w:sz w:val="20"/>
          <w:szCs w:val="20"/>
          <w:lang w:val="en-GB"/>
        </w:rPr>
        <w:t xml:space="preserve">the </w:t>
      </w:r>
      <w:r w:rsidRPr="00222F6B">
        <w:rPr>
          <w:rFonts w:ascii="Arial" w:hAnsi="Arial" w:cs="Arial"/>
          <w:sz w:val="20"/>
          <w:szCs w:val="20"/>
          <w:lang w:val="en-GB"/>
        </w:rPr>
        <w:t>water soluble</w:t>
      </w:r>
      <w:r w:rsidR="00826E27">
        <w:rPr>
          <w:rFonts w:ascii="Arial" w:hAnsi="Arial" w:cs="Arial"/>
          <w:sz w:val="20"/>
          <w:szCs w:val="20"/>
          <w:lang w:val="en-GB"/>
        </w:rPr>
        <w:t xml:space="preserve"> </w:t>
      </w:r>
      <w:r w:rsidR="002D4091">
        <w:rPr>
          <w:rFonts w:ascii="Arial" w:hAnsi="Arial" w:cs="Arial"/>
          <w:sz w:val="20"/>
          <w:szCs w:val="20"/>
          <w:lang w:val="en-GB"/>
        </w:rPr>
        <w:t xml:space="preserve">(WS) </w:t>
      </w:r>
      <w:r w:rsidR="00826E27">
        <w:rPr>
          <w:rFonts w:ascii="Arial" w:hAnsi="Arial" w:cs="Arial"/>
          <w:sz w:val="20"/>
          <w:szCs w:val="20"/>
          <w:lang w:val="en-GB"/>
        </w:rPr>
        <w:t xml:space="preserve">fraction of </w:t>
      </w:r>
      <w:r w:rsidRPr="00222F6B">
        <w:rPr>
          <w:rFonts w:ascii="Arial" w:hAnsi="Arial" w:cs="Arial"/>
          <w:sz w:val="20"/>
          <w:szCs w:val="20"/>
          <w:lang w:val="en-GB"/>
        </w:rPr>
        <w:t>size-resolved particulate matter</w:t>
      </w:r>
      <w:r w:rsidR="00826E27">
        <w:rPr>
          <w:rFonts w:ascii="Arial" w:hAnsi="Arial" w:cs="Arial"/>
          <w:sz w:val="20"/>
          <w:szCs w:val="20"/>
          <w:lang w:val="en-GB"/>
        </w:rPr>
        <w:t xml:space="preserve"> (PM)</w:t>
      </w:r>
      <w:r w:rsidRPr="00222F6B">
        <w:rPr>
          <w:rFonts w:ascii="Arial" w:hAnsi="Arial" w:cs="Arial"/>
          <w:sz w:val="20"/>
          <w:szCs w:val="20"/>
          <w:lang w:val="en-GB"/>
        </w:rPr>
        <w:t xml:space="preserve"> (</w:t>
      </w:r>
      <w:r w:rsidRPr="00222F6B">
        <w:rPr>
          <w:rFonts w:ascii="Arial" w:hAnsi="Arial" w:cs="Arial"/>
          <w:sz w:val="20"/>
          <w:szCs w:val="20"/>
          <w:lang w:val="en-US"/>
        </w:rPr>
        <w:t>&lt;0.49, 0.49-0.97, 0.97-1.5, 1.5-3.0, 3.0-7.2 and &gt;7.2</w:t>
      </w:r>
      <w:r w:rsidRPr="00222F6B">
        <w:rPr>
          <w:rFonts w:ascii="Arial" w:hAnsi="Arial" w:cs="Arial"/>
          <w:sz w:val="20"/>
          <w:szCs w:val="20"/>
        </w:rPr>
        <w:t>μ</w:t>
      </w:r>
      <w:r w:rsidRPr="00222F6B">
        <w:rPr>
          <w:rFonts w:ascii="Arial" w:hAnsi="Arial" w:cs="Arial"/>
          <w:sz w:val="20"/>
          <w:szCs w:val="20"/>
          <w:lang w:val="en-US"/>
        </w:rPr>
        <w:t xml:space="preserve">m) </w:t>
      </w:r>
      <w:r w:rsidRPr="00222F6B">
        <w:rPr>
          <w:rFonts w:ascii="Arial" w:hAnsi="Arial" w:cs="Arial"/>
          <w:sz w:val="20"/>
          <w:szCs w:val="20"/>
          <w:lang w:val="en-GB"/>
        </w:rPr>
        <w:t xml:space="preserve">was carried out at two urban sites </w:t>
      </w:r>
      <w:r w:rsidR="002F744B">
        <w:rPr>
          <w:rFonts w:ascii="Arial" w:hAnsi="Arial" w:cs="Arial"/>
          <w:sz w:val="20"/>
          <w:szCs w:val="20"/>
          <w:lang w:val="en-GB"/>
        </w:rPr>
        <w:t>in Thessaloniki, northern Greece</w:t>
      </w:r>
      <w:r w:rsidRPr="00222F6B">
        <w:rPr>
          <w:rFonts w:ascii="Arial" w:hAnsi="Arial" w:cs="Arial"/>
          <w:sz w:val="20"/>
          <w:szCs w:val="20"/>
          <w:lang w:val="en-GB"/>
        </w:rPr>
        <w:t>.</w:t>
      </w:r>
      <w:r w:rsidR="002F744B">
        <w:rPr>
          <w:rFonts w:ascii="Arial" w:hAnsi="Arial" w:cs="Arial"/>
          <w:sz w:val="20"/>
          <w:szCs w:val="20"/>
          <w:lang w:val="en-GB"/>
        </w:rPr>
        <w:t xml:space="preserve"> </w:t>
      </w:r>
      <w:r w:rsidRPr="00222F6B">
        <w:rPr>
          <w:rFonts w:ascii="Arial" w:hAnsi="Arial" w:cs="Arial"/>
          <w:sz w:val="20"/>
          <w:szCs w:val="20"/>
          <w:lang w:val="en-GB"/>
        </w:rPr>
        <w:t>Chemical characterization included water soluble organic carbon (WSOC), ion</w:t>
      </w:r>
      <w:r w:rsidR="000F2CA8">
        <w:rPr>
          <w:rFonts w:ascii="Arial" w:hAnsi="Arial" w:cs="Arial"/>
          <w:sz w:val="20"/>
          <w:szCs w:val="20"/>
          <w:lang w:val="en-GB"/>
        </w:rPr>
        <w:t>s</w:t>
      </w:r>
      <w:r w:rsidRPr="00222F6B">
        <w:rPr>
          <w:rFonts w:ascii="Arial" w:hAnsi="Arial" w:cs="Arial"/>
          <w:sz w:val="20"/>
          <w:szCs w:val="20"/>
          <w:lang w:val="en-GB"/>
        </w:rPr>
        <w:t xml:space="preserve"> (</w:t>
      </w:r>
      <w:r w:rsidRPr="00222F6B">
        <w:rPr>
          <w:rFonts w:ascii="Arial" w:eastAsia="Times New Roman" w:hAnsi="Arial" w:cs="Arial"/>
          <w:color w:val="131413"/>
          <w:sz w:val="20"/>
          <w:szCs w:val="20"/>
          <w:lang w:val="en-US"/>
        </w:rPr>
        <w:t>NO</w:t>
      </w:r>
      <w:r w:rsidRPr="00222F6B">
        <w:rPr>
          <w:rFonts w:ascii="Arial" w:eastAsia="Times New Roman" w:hAnsi="Arial" w:cs="Arial"/>
          <w:color w:val="131413"/>
          <w:sz w:val="20"/>
          <w:szCs w:val="20"/>
          <w:vertAlign w:val="subscript"/>
          <w:lang w:val="en-US"/>
        </w:rPr>
        <w:t>3</w:t>
      </w:r>
      <w:r w:rsidRPr="00222F6B">
        <w:rPr>
          <w:rFonts w:ascii="Arial" w:eastAsia="AdvTT3713a231+22" w:hAnsi="Arial" w:cs="Arial"/>
          <w:color w:val="131413"/>
          <w:sz w:val="20"/>
          <w:szCs w:val="20"/>
          <w:vertAlign w:val="superscript"/>
          <w:lang w:val="en-US"/>
        </w:rPr>
        <w:t>−</w:t>
      </w:r>
      <w:r w:rsidRPr="00222F6B">
        <w:rPr>
          <w:rFonts w:ascii="Arial" w:eastAsia="Times New Roman" w:hAnsi="Arial" w:cs="Arial"/>
          <w:color w:val="131413"/>
          <w:sz w:val="20"/>
          <w:szCs w:val="20"/>
          <w:lang w:val="en-US"/>
        </w:rPr>
        <w:t>, SO</w:t>
      </w:r>
      <w:r w:rsidRPr="00222F6B">
        <w:rPr>
          <w:rFonts w:ascii="Arial" w:eastAsia="Times New Roman" w:hAnsi="Arial" w:cs="Arial"/>
          <w:color w:val="131413"/>
          <w:sz w:val="20"/>
          <w:szCs w:val="20"/>
          <w:vertAlign w:val="subscript"/>
          <w:lang w:val="en-US"/>
        </w:rPr>
        <w:t>4</w:t>
      </w:r>
      <w:r w:rsidRPr="00222F6B">
        <w:rPr>
          <w:rFonts w:ascii="Arial" w:eastAsia="Times New Roman" w:hAnsi="Arial" w:cs="Arial"/>
          <w:color w:val="131413"/>
          <w:sz w:val="20"/>
          <w:szCs w:val="20"/>
          <w:vertAlign w:val="superscript"/>
          <w:lang w:val="en-US"/>
        </w:rPr>
        <w:t>2</w:t>
      </w:r>
      <w:r w:rsidRPr="00222F6B">
        <w:rPr>
          <w:rFonts w:ascii="Arial" w:eastAsia="AdvTT3713a231+22" w:hAnsi="Arial" w:cs="Arial"/>
          <w:color w:val="131413"/>
          <w:sz w:val="20"/>
          <w:szCs w:val="20"/>
          <w:vertAlign w:val="superscript"/>
          <w:lang w:val="en-US"/>
        </w:rPr>
        <w:t>−</w:t>
      </w:r>
      <w:r w:rsidRPr="00222F6B">
        <w:rPr>
          <w:rFonts w:ascii="Arial" w:eastAsia="Times New Roman" w:hAnsi="Arial" w:cs="Arial"/>
          <w:color w:val="131413"/>
          <w:sz w:val="20"/>
          <w:szCs w:val="20"/>
          <w:lang w:val="en-US"/>
        </w:rPr>
        <w:t xml:space="preserve">, </w:t>
      </w:r>
      <w:proofErr w:type="spellStart"/>
      <w:r w:rsidRPr="00222F6B">
        <w:rPr>
          <w:rFonts w:ascii="Arial" w:eastAsia="Times New Roman" w:hAnsi="Arial" w:cs="Arial"/>
          <w:color w:val="131413"/>
          <w:sz w:val="20"/>
          <w:szCs w:val="20"/>
          <w:lang w:val="en-US"/>
        </w:rPr>
        <w:t>Cl</w:t>
      </w:r>
      <w:proofErr w:type="spellEnd"/>
      <w:r w:rsidRPr="00222F6B">
        <w:rPr>
          <w:rFonts w:ascii="Arial" w:eastAsia="AdvTT3713a231+22" w:hAnsi="Arial" w:cs="Arial"/>
          <w:color w:val="131413"/>
          <w:sz w:val="20"/>
          <w:szCs w:val="20"/>
          <w:vertAlign w:val="superscript"/>
          <w:lang w:val="en-US"/>
        </w:rPr>
        <w:t>−</w:t>
      </w:r>
      <w:r w:rsidRPr="00222F6B">
        <w:rPr>
          <w:rFonts w:ascii="Arial" w:eastAsia="Times New Roman" w:hAnsi="Arial" w:cs="Arial"/>
          <w:color w:val="131413"/>
          <w:sz w:val="20"/>
          <w:szCs w:val="20"/>
          <w:lang w:val="en-US"/>
        </w:rPr>
        <w:t>, Na</w:t>
      </w:r>
      <w:r w:rsidRPr="00222F6B">
        <w:rPr>
          <w:rFonts w:ascii="Arial" w:eastAsia="Times New Roman" w:hAnsi="Arial" w:cs="Arial"/>
          <w:color w:val="131413"/>
          <w:sz w:val="20"/>
          <w:szCs w:val="20"/>
          <w:vertAlign w:val="superscript"/>
          <w:lang w:val="en-US"/>
        </w:rPr>
        <w:t>+</w:t>
      </w:r>
      <w:r w:rsidRPr="00222F6B">
        <w:rPr>
          <w:rFonts w:ascii="Arial" w:eastAsia="Times New Roman" w:hAnsi="Arial" w:cs="Arial"/>
          <w:color w:val="131413"/>
          <w:sz w:val="20"/>
          <w:szCs w:val="20"/>
          <w:lang w:val="en-US"/>
        </w:rPr>
        <w:t>, NH</w:t>
      </w:r>
      <w:r w:rsidRPr="00222F6B">
        <w:rPr>
          <w:rFonts w:ascii="Arial" w:eastAsia="Times New Roman" w:hAnsi="Arial" w:cs="Arial"/>
          <w:color w:val="131413"/>
          <w:sz w:val="20"/>
          <w:szCs w:val="20"/>
          <w:vertAlign w:val="subscript"/>
          <w:lang w:val="en-US"/>
        </w:rPr>
        <w:t>4</w:t>
      </w:r>
      <w:r w:rsidRPr="00222F6B">
        <w:rPr>
          <w:rFonts w:ascii="Arial" w:eastAsia="Times New Roman" w:hAnsi="Arial" w:cs="Arial"/>
          <w:color w:val="131413"/>
          <w:sz w:val="20"/>
          <w:szCs w:val="20"/>
          <w:vertAlign w:val="superscript"/>
          <w:lang w:val="en-US"/>
        </w:rPr>
        <w:t>+</w:t>
      </w:r>
      <w:r w:rsidRPr="00222F6B">
        <w:rPr>
          <w:rFonts w:ascii="Arial" w:eastAsia="Times New Roman" w:hAnsi="Arial" w:cs="Arial"/>
          <w:color w:val="131413"/>
          <w:sz w:val="20"/>
          <w:szCs w:val="20"/>
          <w:lang w:val="en-US"/>
        </w:rPr>
        <w:t>, K</w:t>
      </w:r>
      <w:r w:rsidRPr="00222F6B">
        <w:rPr>
          <w:rFonts w:ascii="Arial" w:eastAsia="Times New Roman" w:hAnsi="Arial" w:cs="Arial"/>
          <w:color w:val="131413"/>
          <w:sz w:val="20"/>
          <w:szCs w:val="20"/>
          <w:vertAlign w:val="superscript"/>
          <w:lang w:val="en-US"/>
        </w:rPr>
        <w:t>+</w:t>
      </w:r>
      <w:r w:rsidRPr="00222F6B">
        <w:rPr>
          <w:rFonts w:ascii="Arial" w:eastAsia="Times New Roman" w:hAnsi="Arial" w:cs="Arial"/>
          <w:color w:val="131413"/>
          <w:sz w:val="20"/>
          <w:szCs w:val="20"/>
          <w:lang w:val="en-US"/>
        </w:rPr>
        <w:t>, Mg</w:t>
      </w:r>
      <w:r w:rsidRPr="00222F6B">
        <w:rPr>
          <w:rFonts w:ascii="Arial" w:eastAsia="Times New Roman" w:hAnsi="Arial" w:cs="Arial"/>
          <w:color w:val="131413"/>
          <w:sz w:val="20"/>
          <w:szCs w:val="20"/>
          <w:vertAlign w:val="superscript"/>
          <w:lang w:val="en-US"/>
        </w:rPr>
        <w:t>2+</w:t>
      </w:r>
      <w:r w:rsidRPr="00222F6B">
        <w:rPr>
          <w:rFonts w:ascii="Arial" w:eastAsia="Times New Roman" w:hAnsi="Arial" w:cs="Arial"/>
          <w:color w:val="131413"/>
          <w:sz w:val="20"/>
          <w:szCs w:val="20"/>
          <w:lang w:val="en-US"/>
        </w:rPr>
        <w:t>, Ca</w:t>
      </w:r>
      <w:r w:rsidRPr="00222F6B">
        <w:rPr>
          <w:rFonts w:ascii="Arial" w:eastAsia="Times New Roman" w:hAnsi="Arial" w:cs="Arial"/>
          <w:color w:val="131413"/>
          <w:sz w:val="20"/>
          <w:szCs w:val="20"/>
          <w:vertAlign w:val="superscript"/>
          <w:lang w:val="en-US"/>
        </w:rPr>
        <w:t>2+</w:t>
      </w:r>
      <w:r w:rsidRPr="00222F6B">
        <w:rPr>
          <w:rFonts w:ascii="Arial" w:hAnsi="Arial" w:cs="Arial"/>
          <w:sz w:val="20"/>
          <w:szCs w:val="20"/>
          <w:lang w:val="en-GB"/>
        </w:rPr>
        <w:t>) and trace elements (</w:t>
      </w:r>
      <w:r w:rsidRPr="00222F6B">
        <w:rPr>
          <w:rFonts w:ascii="Arial" w:hAnsi="Arial" w:cs="Arial"/>
          <w:sz w:val="20"/>
          <w:szCs w:val="20"/>
          <w:lang w:val="en-US"/>
        </w:rPr>
        <w:t xml:space="preserve">Al, As, </w:t>
      </w:r>
      <w:proofErr w:type="spellStart"/>
      <w:r w:rsidRPr="00222F6B">
        <w:rPr>
          <w:rFonts w:ascii="Arial" w:hAnsi="Arial" w:cs="Arial"/>
          <w:sz w:val="20"/>
          <w:szCs w:val="20"/>
          <w:lang w:val="en-US"/>
        </w:rPr>
        <w:t>Ba</w:t>
      </w:r>
      <w:proofErr w:type="spellEnd"/>
      <w:r w:rsidRPr="00222F6B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22F6B">
        <w:rPr>
          <w:rFonts w:ascii="Arial" w:hAnsi="Arial" w:cs="Arial"/>
          <w:sz w:val="20"/>
          <w:szCs w:val="20"/>
          <w:lang w:val="en-US"/>
        </w:rPr>
        <w:t>Cd</w:t>
      </w:r>
      <w:proofErr w:type="spellEnd"/>
      <w:r w:rsidRPr="00222F6B">
        <w:rPr>
          <w:rFonts w:ascii="Arial" w:hAnsi="Arial" w:cs="Arial"/>
          <w:sz w:val="20"/>
          <w:szCs w:val="20"/>
          <w:lang w:val="en-US"/>
        </w:rPr>
        <w:t xml:space="preserve">, Cr, Cu, Fe, </w:t>
      </w:r>
      <w:proofErr w:type="spellStart"/>
      <w:r w:rsidRPr="00222F6B">
        <w:rPr>
          <w:rFonts w:ascii="Arial" w:hAnsi="Arial" w:cs="Arial"/>
          <w:sz w:val="20"/>
          <w:szCs w:val="20"/>
          <w:lang w:val="en-US"/>
        </w:rPr>
        <w:t>Pb</w:t>
      </w:r>
      <w:proofErr w:type="spellEnd"/>
      <w:r w:rsidRPr="00222F6B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22F6B">
        <w:rPr>
          <w:rFonts w:ascii="Arial" w:hAnsi="Arial" w:cs="Arial"/>
          <w:sz w:val="20"/>
          <w:szCs w:val="20"/>
          <w:lang w:val="en-US"/>
        </w:rPr>
        <w:t>Mn</w:t>
      </w:r>
      <w:proofErr w:type="spellEnd"/>
      <w:r w:rsidRPr="00222F6B">
        <w:rPr>
          <w:rFonts w:ascii="Arial" w:hAnsi="Arial" w:cs="Arial"/>
          <w:sz w:val="20"/>
          <w:szCs w:val="20"/>
          <w:lang w:val="en-US"/>
        </w:rPr>
        <w:t xml:space="preserve">, Ni, Zn, Pt, Pd, </w:t>
      </w:r>
      <w:proofErr w:type="spellStart"/>
      <w:r w:rsidRPr="00222F6B">
        <w:rPr>
          <w:rFonts w:ascii="Arial" w:hAnsi="Arial" w:cs="Arial"/>
          <w:sz w:val="20"/>
          <w:szCs w:val="20"/>
          <w:lang w:val="en-US"/>
        </w:rPr>
        <w:t>Rh</w:t>
      </w:r>
      <w:proofErr w:type="spellEnd"/>
      <w:r w:rsidRPr="00222F6B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22F6B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222F6B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22F6B">
        <w:rPr>
          <w:rFonts w:ascii="Arial" w:hAnsi="Arial" w:cs="Arial"/>
          <w:sz w:val="20"/>
          <w:szCs w:val="20"/>
          <w:lang w:val="en-US"/>
        </w:rPr>
        <w:t>Ir</w:t>
      </w:r>
      <w:proofErr w:type="spellEnd"/>
      <w:r w:rsidRPr="00222F6B">
        <w:rPr>
          <w:rFonts w:ascii="Arial" w:hAnsi="Arial" w:cs="Arial"/>
          <w:sz w:val="20"/>
          <w:szCs w:val="20"/>
          <w:lang w:val="en-US"/>
        </w:rPr>
        <w:t>, Ca, and Mg).</w:t>
      </w:r>
      <w:r w:rsidRPr="00222F6B">
        <w:rPr>
          <w:rFonts w:ascii="Arial" w:hAnsi="Arial" w:cs="Arial"/>
          <w:sz w:val="20"/>
          <w:szCs w:val="20"/>
          <w:lang w:val="en-GB"/>
        </w:rPr>
        <w:t xml:space="preserve"> </w:t>
      </w:r>
      <w:r w:rsidRPr="00222F6B">
        <w:rPr>
          <w:rFonts w:ascii="Arial" w:hAnsi="Arial" w:cs="Arial"/>
          <w:sz w:val="20"/>
          <w:szCs w:val="20"/>
          <w:lang w:val="en-US"/>
        </w:rPr>
        <w:t xml:space="preserve">The </w:t>
      </w:r>
      <w:proofErr w:type="spellStart"/>
      <w:r w:rsidRPr="00222F6B">
        <w:rPr>
          <w:rFonts w:ascii="Arial" w:hAnsi="Arial" w:cs="Arial"/>
          <w:sz w:val="20"/>
          <w:szCs w:val="20"/>
          <w:lang w:val="en-US"/>
        </w:rPr>
        <w:t>dithiothreitol</w:t>
      </w:r>
      <w:proofErr w:type="spellEnd"/>
      <w:r w:rsidRPr="00222F6B">
        <w:rPr>
          <w:rFonts w:ascii="Arial" w:hAnsi="Arial" w:cs="Arial"/>
          <w:sz w:val="20"/>
          <w:szCs w:val="20"/>
          <w:lang w:val="en-US"/>
        </w:rPr>
        <w:t xml:space="preserve"> (DTT) assay was employed for the </w:t>
      </w:r>
      <w:proofErr w:type="spellStart"/>
      <w:r w:rsidRPr="00222F6B">
        <w:rPr>
          <w:rFonts w:ascii="Arial" w:hAnsi="Arial" w:cs="Arial"/>
          <w:sz w:val="20"/>
          <w:szCs w:val="20"/>
          <w:lang w:val="en-US"/>
        </w:rPr>
        <w:t>abiotic</w:t>
      </w:r>
      <w:proofErr w:type="spellEnd"/>
      <w:r w:rsidRPr="00222F6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22F6B">
        <w:rPr>
          <w:rFonts w:ascii="Arial" w:hAnsi="Arial" w:cs="Arial"/>
          <w:sz w:val="20"/>
          <w:szCs w:val="20"/>
          <w:lang w:val="en-US"/>
        </w:rPr>
        <w:t>redox</w:t>
      </w:r>
      <w:proofErr w:type="spellEnd"/>
      <w:r w:rsidRPr="00222F6B">
        <w:rPr>
          <w:rFonts w:ascii="Arial" w:hAnsi="Arial" w:cs="Arial"/>
          <w:sz w:val="20"/>
          <w:szCs w:val="20"/>
          <w:lang w:val="en-US"/>
        </w:rPr>
        <w:t xml:space="preserve"> activity assessment of </w:t>
      </w:r>
      <w:r w:rsidR="00826E27" w:rsidRPr="00222F6B">
        <w:rPr>
          <w:rFonts w:ascii="Arial" w:hAnsi="Arial" w:cs="Arial"/>
          <w:sz w:val="20"/>
          <w:szCs w:val="20"/>
          <w:lang w:val="en-GB"/>
        </w:rPr>
        <w:t>water soluble</w:t>
      </w:r>
      <w:r w:rsidR="00826E27">
        <w:rPr>
          <w:rFonts w:ascii="Arial" w:hAnsi="Arial" w:cs="Arial"/>
          <w:sz w:val="20"/>
          <w:szCs w:val="20"/>
          <w:lang w:val="en-GB"/>
        </w:rPr>
        <w:t xml:space="preserve"> </w:t>
      </w:r>
      <w:r w:rsidR="00826E27" w:rsidRPr="00222F6B">
        <w:rPr>
          <w:rFonts w:ascii="Arial" w:hAnsi="Arial" w:cs="Arial"/>
          <w:sz w:val="20"/>
          <w:szCs w:val="20"/>
          <w:lang w:val="en-US"/>
        </w:rPr>
        <w:t>PM</w:t>
      </w:r>
      <w:r w:rsidRPr="00222F6B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22F6B">
        <w:rPr>
          <w:rFonts w:ascii="Arial" w:eastAsia="Times New Roman" w:hAnsi="Arial" w:cs="Arial"/>
          <w:color w:val="000000"/>
          <w:sz w:val="20"/>
          <w:szCs w:val="20"/>
          <w:lang w:val="en-US"/>
        </w:rPr>
        <w:t>Cytotoxic</w:t>
      </w:r>
      <w:proofErr w:type="spellEnd"/>
      <w:r w:rsidRPr="00222F6B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responses</w:t>
      </w:r>
      <w:r w:rsidRPr="00222F6B">
        <w:rPr>
          <w:rFonts w:ascii="Arial" w:eastAsia="Times New Roman" w:hAnsi="Arial" w:cs="Arial"/>
          <w:sz w:val="20"/>
          <w:szCs w:val="20"/>
          <w:lang w:val="en-US"/>
        </w:rPr>
        <w:t xml:space="preserve"> in human lung cell</w:t>
      </w:r>
      <w:r w:rsidR="00473754">
        <w:rPr>
          <w:rFonts w:ascii="Arial" w:eastAsia="Times New Roman" w:hAnsi="Arial" w:cs="Arial"/>
          <w:sz w:val="20"/>
          <w:szCs w:val="20"/>
          <w:lang w:val="en-US"/>
        </w:rPr>
        <w:t>s</w:t>
      </w:r>
      <w:r w:rsidRPr="00222F6B">
        <w:rPr>
          <w:rFonts w:ascii="Arial" w:eastAsia="Times New Roman" w:hAnsi="Arial" w:cs="Arial"/>
          <w:sz w:val="20"/>
          <w:szCs w:val="20"/>
          <w:lang w:val="en-US"/>
        </w:rPr>
        <w:t xml:space="preserve"> (MRC-5) </w:t>
      </w:r>
      <w:r w:rsidRPr="00222F6B">
        <w:rPr>
          <w:rFonts w:ascii="Arial" w:hAnsi="Arial" w:cs="Arial"/>
          <w:sz w:val="20"/>
          <w:szCs w:val="20"/>
          <w:lang w:val="en-US"/>
        </w:rPr>
        <w:t xml:space="preserve">were investigated by employing the mitochondrial </w:t>
      </w:r>
      <w:proofErr w:type="spellStart"/>
      <w:r w:rsidRPr="00222F6B">
        <w:rPr>
          <w:rFonts w:ascii="Arial" w:hAnsi="Arial" w:cs="Arial"/>
          <w:sz w:val="20"/>
          <w:szCs w:val="20"/>
          <w:lang w:val="en-US"/>
        </w:rPr>
        <w:t>dehydrogenase</w:t>
      </w:r>
      <w:proofErr w:type="spellEnd"/>
      <w:r w:rsidRPr="00222F6B">
        <w:rPr>
          <w:rFonts w:ascii="Arial" w:hAnsi="Arial" w:cs="Arial"/>
          <w:sz w:val="20"/>
          <w:szCs w:val="20"/>
          <w:lang w:val="en-US"/>
        </w:rPr>
        <w:t xml:space="preserve"> (MTT) bioassay</w:t>
      </w:r>
      <w:r w:rsidR="001E47AF">
        <w:rPr>
          <w:rFonts w:ascii="Arial" w:hAnsi="Arial" w:cs="Arial"/>
          <w:sz w:val="20"/>
          <w:szCs w:val="20"/>
          <w:lang w:val="en-US"/>
        </w:rPr>
        <w:t xml:space="preserve">, while </w:t>
      </w:r>
      <w:r w:rsidRPr="00222F6B">
        <w:rPr>
          <w:rFonts w:ascii="Arial" w:eastAsia="Times New Roman" w:hAnsi="Arial" w:cs="Arial"/>
          <w:sz w:val="20"/>
          <w:szCs w:val="20"/>
          <w:lang w:val="en-US"/>
        </w:rPr>
        <w:t xml:space="preserve">DNA damage was estimated by single cell gel electrophoresis (Comet assay). </w:t>
      </w:r>
      <w:proofErr w:type="spellStart"/>
      <w:r w:rsidR="00473754">
        <w:rPr>
          <w:rFonts w:ascii="Arial" w:eastAsia="Times New Roman" w:hAnsi="Arial" w:cs="Arial"/>
          <w:sz w:val="20"/>
          <w:szCs w:val="20"/>
          <w:lang w:val="en-US"/>
        </w:rPr>
        <w:t>C</w:t>
      </w:r>
      <w:r w:rsidRPr="00222F6B">
        <w:rPr>
          <w:rFonts w:ascii="Arial" w:hAnsi="Arial" w:cs="Arial"/>
          <w:sz w:val="20"/>
          <w:szCs w:val="20"/>
          <w:lang w:val="en-US"/>
        </w:rPr>
        <w:t>cytogenetic</w:t>
      </w:r>
      <w:proofErr w:type="spellEnd"/>
      <w:r w:rsidRPr="00222F6B">
        <w:rPr>
          <w:rFonts w:ascii="Arial" w:hAnsi="Arial" w:cs="Arial"/>
          <w:sz w:val="20"/>
          <w:szCs w:val="20"/>
          <w:lang w:val="en-US"/>
        </w:rPr>
        <w:t xml:space="preserve"> effects were examined </w:t>
      </w:r>
      <w:r w:rsidR="00773013" w:rsidRPr="00222F6B">
        <w:rPr>
          <w:rFonts w:ascii="Arial" w:hAnsi="Arial" w:cs="Arial"/>
          <w:sz w:val="20"/>
          <w:szCs w:val="20"/>
          <w:lang w:val="en-US"/>
        </w:rPr>
        <w:t>on human chromosomes and cells (lymphocyte cultures)</w:t>
      </w:r>
      <w:r w:rsidR="00773013">
        <w:rPr>
          <w:rFonts w:ascii="Arial" w:hAnsi="Arial" w:cs="Arial"/>
          <w:sz w:val="20"/>
          <w:szCs w:val="20"/>
          <w:lang w:val="en-US"/>
        </w:rPr>
        <w:t xml:space="preserve"> </w:t>
      </w:r>
      <w:r w:rsidRPr="00222F6B">
        <w:rPr>
          <w:rFonts w:ascii="Arial" w:hAnsi="Arial" w:cs="Arial"/>
          <w:sz w:val="20"/>
          <w:szCs w:val="20"/>
          <w:lang w:val="en-US"/>
        </w:rPr>
        <w:t xml:space="preserve">by measuring the sister </w:t>
      </w:r>
      <w:proofErr w:type="spellStart"/>
      <w:r w:rsidRPr="00222F6B">
        <w:rPr>
          <w:rFonts w:ascii="Arial" w:hAnsi="Arial" w:cs="Arial"/>
          <w:sz w:val="20"/>
          <w:szCs w:val="20"/>
          <w:lang w:val="en-US"/>
        </w:rPr>
        <w:t>chromatid</w:t>
      </w:r>
      <w:proofErr w:type="spellEnd"/>
      <w:r w:rsidRPr="00222F6B">
        <w:rPr>
          <w:rFonts w:ascii="Arial" w:hAnsi="Arial" w:cs="Arial"/>
          <w:sz w:val="20"/>
          <w:szCs w:val="20"/>
          <w:lang w:val="en-US"/>
        </w:rPr>
        <w:t xml:space="preserve"> exchanges (SCEs), as well as the Proliferation Rate Index (PRI) and the Mitotic index (MI). </w:t>
      </w:r>
      <w:bookmarkEnd w:id="0"/>
    </w:p>
    <w:p w:rsidR="007E4D62" w:rsidRPr="000F5013" w:rsidRDefault="007E4D62" w:rsidP="007E4D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0F5013">
        <w:rPr>
          <w:rFonts w:ascii="Arial" w:hAnsi="Arial" w:cs="Arial"/>
          <w:sz w:val="20"/>
          <w:szCs w:val="20"/>
          <w:lang w:val="en-US"/>
        </w:rPr>
        <w:t xml:space="preserve">Wintertime PM at the traffic site was characterized by significantly lower </w:t>
      </w:r>
      <w:r w:rsidR="002D4091">
        <w:rPr>
          <w:rFonts w:ascii="Arial" w:hAnsi="Arial" w:cs="Arial"/>
          <w:sz w:val="20"/>
          <w:szCs w:val="20"/>
          <w:lang w:val="en-US"/>
        </w:rPr>
        <w:t>WS</w:t>
      </w:r>
      <w:r w:rsidRPr="000F5013">
        <w:rPr>
          <w:rFonts w:ascii="Arial" w:hAnsi="Arial" w:cs="Arial"/>
          <w:sz w:val="20"/>
          <w:szCs w:val="20"/>
          <w:lang w:val="en-US"/>
        </w:rPr>
        <w:t xml:space="preserve"> </w:t>
      </w:r>
      <w:r w:rsidR="00473754">
        <w:rPr>
          <w:rFonts w:ascii="Arial" w:hAnsi="Arial" w:cs="Arial"/>
          <w:sz w:val="20"/>
          <w:szCs w:val="20"/>
          <w:lang w:val="en-US"/>
        </w:rPr>
        <w:t>fraction</w:t>
      </w:r>
      <w:r w:rsidRPr="000F5013">
        <w:rPr>
          <w:rFonts w:ascii="Arial" w:hAnsi="Arial" w:cs="Arial"/>
          <w:sz w:val="20"/>
          <w:szCs w:val="20"/>
          <w:lang w:val="en-US"/>
        </w:rPr>
        <w:t xml:space="preserve"> in comparison to the </w:t>
      </w:r>
      <w:r w:rsidR="001E47AF" w:rsidRPr="000F5013">
        <w:rPr>
          <w:rFonts w:ascii="Arial" w:hAnsi="Arial" w:cs="Arial"/>
          <w:sz w:val="20"/>
          <w:szCs w:val="20"/>
          <w:lang w:val="en-US"/>
        </w:rPr>
        <w:t xml:space="preserve">urban </w:t>
      </w:r>
      <w:r w:rsidRPr="000F5013">
        <w:rPr>
          <w:rFonts w:ascii="Arial" w:hAnsi="Arial" w:cs="Arial"/>
          <w:sz w:val="20"/>
          <w:szCs w:val="20"/>
          <w:lang w:val="en-US"/>
        </w:rPr>
        <w:t xml:space="preserve">background site (7-31% </w:t>
      </w:r>
      <w:r w:rsidRPr="00473754">
        <w:rPr>
          <w:rFonts w:ascii="Arial" w:hAnsi="Arial" w:cs="Arial"/>
          <w:i/>
          <w:sz w:val="20"/>
          <w:szCs w:val="20"/>
          <w:lang w:val="en-US"/>
        </w:rPr>
        <w:t>vs.</w:t>
      </w:r>
      <w:r w:rsidRPr="000F5013">
        <w:rPr>
          <w:rFonts w:ascii="Arial" w:hAnsi="Arial" w:cs="Arial"/>
          <w:sz w:val="20"/>
          <w:szCs w:val="20"/>
          <w:lang w:val="en-US"/>
        </w:rPr>
        <w:t xml:space="preserve"> 18-56%) peaking in finer sizes as well (0.49-0.9</w:t>
      </w:r>
      <w:r w:rsidR="006C5C52">
        <w:rPr>
          <w:rFonts w:ascii="Arial" w:hAnsi="Arial" w:cs="Arial"/>
          <w:sz w:val="20"/>
          <w:szCs w:val="20"/>
          <w:lang w:val="en-US"/>
        </w:rPr>
        <w:t>7</w:t>
      </w:r>
      <w:r w:rsidRPr="000F50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F5013">
        <w:rPr>
          <w:rFonts w:ascii="Arial" w:hAnsi="Arial" w:cs="Arial"/>
          <w:sz w:val="20"/>
          <w:szCs w:val="20"/>
          <w:lang w:val="en-US"/>
        </w:rPr>
        <w:t>μm</w:t>
      </w:r>
      <w:proofErr w:type="spellEnd"/>
      <w:r w:rsidRPr="000F5013">
        <w:rPr>
          <w:rFonts w:ascii="Arial" w:hAnsi="Arial" w:cs="Arial"/>
          <w:sz w:val="20"/>
          <w:szCs w:val="20"/>
          <w:lang w:val="en-US"/>
        </w:rPr>
        <w:t xml:space="preserve"> </w:t>
      </w:r>
      <w:r w:rsidRPr="00473754">
        <w:rPr>
          <w:rFonts w:ascii="Arial" w:hAnsi="Arial" w:cs="Arial"/>
          <w:i/>
          <w:sz w:val="20"/>
          <w:szCs w:val="20"/>
          <w:lang w:val="en-US"/>
        </w:rPr>
        <w:t>vs.</w:t>
      </w:r>
      <w:r w:rsidRPr="000F5013">
        <w:rPr>
          <w:rFonts w:ascii="Arial" w:hAnsi="Arial" w:cs="Arial"/>
          <w:sz w:val="20"/>
          <w:szCs w:val="20"/>
          <w:lang w:val="en-US"/>
        </w:rPr>
        <w:t xml:space="preserve"> 0.9</w:t>
      </w:r>
      <w:r w:rsidR="006C5C52">
        <w:rPr>
          <w:rFonts w:ascii="Arial" w:hAnsi="Arial" w:cs="Arial"/>
          <w:sz w:val="20"/>
          <w:szCs w:val="20"/>
          <w:lang w:val="en-US"/>
        </w:rPr>
        <w:t>7</w:t>
      </w:r>
      <w:r w:rsidRPr="000F5013">
        <w:rPr>
          <w:rFonts w:ascii="Arial" w:hAnsi="Arial" w:cs="Arial"/>
          <w:sz w:val="20"/>
          <w:szCs w:val="20"/>
          <w:lang w:val="en-US"/>
        </w:rPr>
        <w:t xml:space="preserve">-1.5 </w:t>
      </w:r>
      <w:proofErr w:type="spellStart"/>
      <w:r w:rsidRPr="000F5013">
        <w:rPr>
          <w:rFonts w:ascii="Arial" w:hAnsi="Arial" w:cs="Arial"/>
          <w:sz w:val="20"/>
          <w:szCs w:val="20"/>
          <w:lang w:val="en-US"/>
        </w:rPr>
        <w:t>μm</w:t>
      </w:r>
      <w:proofErr w:type="spellEnd"/>
      <w:r w:rsidRPr="000F5013">
        <w:rPr>
          <w:rFonts w:ascii="Arial" w:hAnsi="Arial" w:cs="Arial"/>
          <w:sz w:val="20"/>
          <w:szCs w:val="20"/>
          <w:lang w:val="en-US"/>
        </w:rPr>
        <w:t xml:space="preserve">). At both sites, </w:t>
      </w:r>
      <w:r w:rsidR="002D4091">
        <w:rPr>
          <w:rFonts w:ascii="Arial" w:hAnsi="Arial" w:cs="Arial"/>
          <w:sz w:val="20"/>
          <w:szCs w:val="20"/>
          <w:lang w:val="en-US"/>
        </w:rPr>
        <w:t>WS</w:t>
      </w:r>
      <w:r w:rsidRPr="000F5013">
        <w:rPr>
          <w:rFonts w:ascii="Arial" w:hAnsi="Arial" w:cs="Arial"/>
          <w:sz w:val="20"/>
          <w:szCs w:val="20"/>
          <w:lang w:val="en-US"/>
        </w:rPr>
        <w:t xml:space="preserve"> </w:t>
      </w:r>
      <w:r w:rsidR="00473754">
        <w:rPr>
          <w:rFonts w:ascii="Arial" w:hAnsi="Arial" w:cs="Arial"/>
          <w:sz w:val="20"/>
          <w:szCs w:val="20"/>
          <w:lang w:val="en-US"/>
        </w:rPr>
        <w:t>PM fraction</w:t>
      </w:r>
      <w:r w:rsidRPr="000F5013">
        <w:rPr>
          <w:rFonts w:ascii="Arial" w:hAnsi="Arial" w:cs="Arial"/>
          <w:sz w:val="20"/>
          <w:szCs w:val="20"/>
          <w:lang w:val="en-US"/>
        </w:rPr>
        <w:t xml:space="preserve"> increased during summer (18-79% and 15-90% at the traffic and the background site) with a shift to larger particle sizes (&gt;3 </w:t>
      </w:r>
      <w:proofErr w:type="spellStart"/>
      <w:r w:rsidRPr="000F5013">
        <w:rPr>
          <w:rFonts w:ascii="Arial" w:hAnsi="Arial" w:cs="Arial"/>
          <w:sz w:val="20"/>
          <w:szCs w:val="20"/>
          <w:lang w:val="en-US"/>
        </w:rPr>
        <w:t>μm</w:t>
      </w:r>
      <w:proofErr w:type="spellEnd"/>
      <w:r w:rsidRPr="000F5013">
        <w:rPr>
          <w:rFonts w:ascii="Arial" w:hAnsi="Arial" w:cs="Arial"/>
          <w:sz w:val="20"/>
          <w:szCs w:val="20"/>
          <w:lang w:val="en-US"/>
        </w:rPr>
        <w:t xml:space="preserve"> and 0.9</w:t>
      </w:r>
      <w:r w:rsidR="006C5C52">
        <w:rPr>
          <w:rFonts w:ascii="Arial" w:hAnsi="Arial" w:cs="Arial"/>
          <w:sz w:val="20"/>
          <w:szCs w:val="20"/>
          <w:lang w:val="en-US"/>
        </w:rPr>
        <w:t>7</w:t>
      </w:r>
      <w:r w:rsidRPr="000F5013">
        <w:rPr>
          <w:rFonts w:ascii="Arial" w:hAnsi="Arial" w:cs="Arial"/>
          <w:sz w:val="20"/>
          <w:szCs w:val="20"/>
          <w:lang w:val="en-US"/>
        </w:rPr>
        <w:t xml:space="preserve">-3 </w:t>
      </w:r>
      <w:proofErr w:type="spellStart"/>
      <w:r w:rsidRPr="000F5013">
        <w:rPr>
          <w:rFonts w:ascii="Arial" w:hAnsi="Arial" w:cs="Arial"/>
          <w:sz w:val="20"/>
          <w:szCs w:val="20"/>
          <w:lang w:val="en-US"/>
        </w:rPr>
        <w:t>μm</w:t>
      </w:r>
      <w:proofErr w:type="spellEnd"/>
      <w:r w:rsidRPr="000F5013">
        <w:rPr>
          <w:rFonts w:ascii="Arial" w:hAnsi="Arial" w:cs="Arial"/>
          <w:sz w:val="20"/>
          <w:szCs w:val="20"/>
          <w:lang w:val="en-US"/>
        </w:rPr>
        <w:t xml:space="preserve">, respectively). </w:t>
      </w:r>
      <w:r w:rsidR="00473754">
        <w:rPr>
          <w:rFonts w:ascii="Arial" w:hAnsi="Arial" w:cs="Arial"/>
          <w:sz w:val="20"/>
          <w:szCs w:val="20"/>
          <w:lang w:val="en-US"/>
        </w:rPr>
        <w:t xml:space="preserve">Ions were the most abundant </w:t>
      </w:r>
      <w:r w:rsidR="002D4091">
        <w:rPr>
          <w:rFonts w:ascii="Arial" w:hAnsi="Arial" w:cs="Arial"/>
          <w:sz w:val="20"/>
          <w:szCs w:val="20"/>
          <w:lang w:val="en-US"/>
        </w:rPr>
        <w:t>WS</w:t>
      </w:r>
      <w:r w:rsidR="00473754" w:rsidRPr="000F5013">
        <w:rPr>
          <w:rFonts w:ascii="Arial" w:hAnsi="Arial" w:cs="Arial"/>
          <w:sz w:val="20"/>
          <w:szCs w:val="20"/>
          <w:lang w:val="en-US"/>
        </w:rPr>
        <w:t xml:space="preserve"> </w:t>
      </w:r>
      <w:r w:rsidR="00473754">
        <w:rPr>
          <w:rFonts w:ascii="Arial" w:hAnsi="Arial" w:cs="Arial"/>
          <w:sz w:val="20"/>
          <w:szCs w:val="20"/>
          <w:lang w:val="en-US"/>
        </w:rPr>
        <w:t xml:space="preserve">constituents </w:t>
      </w:r>
      <w:r w:rsidRPr="000F5013">
        <w:rPr>
          <w:rFonts w:ascii="Arial" w:hAnsi="Arial" w:cs="Arial"/>
          <w:sz w:val="20"/>
          <w:szCs w:val="20"/>
          <w:lang w:val="en-US"/>
        </w:rPr>
        <w:t>account</w:t>
      </w:r>
      <w:r w:rsidR="00473754">
        <w:rPr>
          <w:rFonts w:ascii="Arial" w:hAnsi="Arial" w:cs="Arial"/>
          <w:sz w:val="20"/>
          <w:szCs w:val="20"/>
          <w:lang w:val="en-US"/>
        </w:rPr>
        <w:t xml:space="preserve">ing </w:t>
      </w:r>
      <w:r w:rsidRPr="000F5013">
        <w:rPr>
          <w:rFonts w:ascii="Arial" w:hAnsi="Arial" w:cs="Arial"/>
          <w:sz w:val="20"/>
          <w:szCs w:val="20"/>
          <w:lang w:val="en-US"/>
        </w:rPr>
        <w:t>on average for 6-</w:t>
      </w:r>
      <w:r w:rsidR="00473754">
        <w:rPr>
          <w:rFonts w:ascii="Arial" w:hAnsi="Arial" w:cs="Arial"/>
          <w:sz w:val="20"/>
          <w:szCs w:val="20"/>
          <w:lang w:val="en-US"/>
        </w:rPr>
        <w:t>28</w:t>
      </w:r>
      <w:r w:rsidRPr="000F5013">
        <w:rPr>
          <w:rFonts w:ascii="Arial" w:hAnsi="Arial" w:cs="Arial"/>
          <w:sz w:val="20"/>
          <w:szCs w:val="20"/>
          <w:lang w:val="en-US"/>
        </w:rPr>
        <w:t xml:space="preserve">% of PM </w:t>
      </w:r>
      <w:r w:rsidR="00473754">
        <w:rPr>
          <w:rFonts w:ascii="Arial" w:hAnsi="Arial" w:cs="Arial"/>
          <w:sz w:val="20"/>
          <w:szCs w:val="20"/>
          <w:lang w:val="en-US"/>
        </w:rPr>
        <w:t xml:space="preserve">mass at the traffic site with </w:t>
      </w:r>
      <w:r w:rsidRPr="000F5013">
        <w:rPr>
          <w:rFonts w:ascii="Arial" w:hAnsi="Arial" w:cs="Arial"/>
          <w:sz w:val="20"/>
          <w:szCs w:val="20"/>
          <w:lang w:val="en-US"/>
        </w:rPr>
        <w:t>maximum content in 0.49-0.9</w:t>
      </w:r>
      <w:r w:rsidR="006C5C52">
        <w:rPr>
          <w:rFonts w:ascii="Arial" w:hAnsi="Arial" w:cs="Arial"/>
          <w:sz w:val="20"/>
          <w:szCs w:val="20"/>
          <w:lang w:val="en-US"/>
        </w:rPr>
        <w:t>7</w:t>
      </w:r>
      <w:r w:rsidRPr="000F50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F5013">
        <w:rPr>
          <w:rFonts w:ascii="Arial" w:hAnsi="Arial" w:cs="Arial"/>
          <w:sz w:val="20"/>
          <w:szCs w:val="20"/>
          <w:lang w:val="en-US"/>
        </w:rPr>
        <w:t>μm</w:t>
      </w:r>
      <w:proofErr w:type="spellEnd"/>
      <w:r w:rsidRPr="000F5013">
        <w:rPr>
          <w:rFonts w:ascii="Arial" w:hAnsi="Arial" w:cs="Arial"/>
          <w:sz w:val="20"/>
          <w:szCs w:val="20"/>
          <w:lang w:val="en-US"/>
        </w:rPr>
        <w:t>.</w:t>
      </w:r>
      <w:r w:rsidR="001E47AF">
        <w:rPr>
          <w:rFonts w:ascii="Arial" w:hAnsi="Arial" w:cs="Arial"/>
          <w:sz w:val="20"/>
          <w:szCs w:val="20"/>
          <w:lang w:val="en-US"/>
        </w:rPr>
        <w:t xml:space="preserve"> </w:t>
      </w:r>
      <w:r w:rsidRPr="000F5013">
        <w:rPr>
          <w:rFonts w:ascii="Arial" w:hAnsi="Arial" w:cs="Arial"/>
          <w:sz w:val="20"/>
          <w:szCs w:val="20"/>
          <w:lang w:val="en-US"/>
        </w:rPr>
        <w:t>The corresponding values at the urban background site were relatively higher (11-41%) maximized in larger particle</w:t>
      </w:r>
      <w:r w:rsidR="001E47AF">
        <w:rPr>
          <w:rFonts w:ascii="Arial" w:hAnsi="Arial" w:cs="Arial"/>
          <w:sz w:val="20"/>
          <w:szCs w:val="20"/>
          <w:lang w:val="en-US"/>
        </w:rPr>
        <w:t>s</w:t>
      </w:r>
      <w:r w:rsidRPr="000F5013">
        <w:rPr>
          <w:rFonts w:ascii="Arial" w:hAnsi="Arial" w:cs="Arial"/>
          <w:sz w:val="20"/>
          <w:szCs w:val="20"/>
          <w:lang w:val="en-US"/>
        </w:rPr>
        <w:t xml:space="preserve"> (0.9</w:t>
      </w:r>
      <w:r w:rsidR="006C5C52">
        <w:rPr>
          <w:rFonts w:ascii="Arial" w:hAnsi="Arial" w:cs="Arial"/>
          <w:sz w:val="20"/>
          <w:szCs w:val="20"/>
          <w:lang w:val="en-US"/>
        </w:rPr>
        <w:t>7</w:t>
      </w:r>
      <w:r w:rsidRPr="000F5013">
        <w:rPr>
          <w:rFonts w:ascii="Arial" w:hAnsi="Arial" w:cs="Arial"/>
          <w:sz w:val="20"/>
          <w:szCs w:val="20"/>
          <w:lang w:val="en-US"/>
        </w:rPr>
        <w:t xml:space="preserve">-1.5 </w:t>
      </w:r>
      <w:proofErr w:type="spellStart"/>
      <w:r w:rsidRPr="000F5013">
        <w:rPr>
          <w:rFonts w:ascii="Arial" w:hAnsi="Arial" w:cs="Arial"/>
          <w:sz w:val="20"/>
          <w:szCs w:val="20"/>
          <w:lang w:val="en-US"/>
        </w:rPr>
        <w:t>μm</w:t>
      </w:r>
      <w:proofErr w:type="spellEnd"/>
      <w:r w:rsidRPr="000F5013">
        <w:rPr>
          <w:rFonts w:ascii="Arial" w:hAnsi="Arial" w:cs="Arial"/>
          <w:sz w:val="20"/>
          <w:szCs w:val="20"/>
          <w:lang w:val="en-US"/>
        </w:rPr>
        <w:t>). WSOC accounted on average for 0.9-9.3% and 1.2-20% of PM mass at the traffic and the urban background site, respectively, presenting maximum content in 0.49-0.9</w:t>
      </w:r>
      <w:r w:rsidR="006C5C52">
        <w:rPr>
          <w:rFonts w:ascii="Arial" w:hAnsi="Arial" w:cs="Arial"/>
          <w:sz w:val="20"/>
          <w:szCs w:val="20"/>
          <w:lang w:val="en-US"/>
        </w:rPr>
        <w:t>7</w:t>
      </w:r>
      <w:r w:rsidRPr="000F50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F5013">
        <w:rPr>
          <w:rFonts w:ascii="Arial" w:hAnsi="Arial" w:cs="Arial"/>
          <w:sz w:val="20"/>
          <w:szCs w:val="20"/>
          <w:lang w:val="en-US"/>
        </w:rPr>
        <w:t>μm</w:t>
      </w:r>
      <w:proofErr w:type="spellEnd"/>
      <w:r w:rsidRPr="000F5013">
        <w:rPr>
          <w:rFonts w:ascii="Arial" w:hAnsi="Arial" w:cs="Arial"/>
          <w:sz w:val="20"/>
          <w:szCs w:val="20"/>
          <w:lang w:val="en-US"/>
        </w:rPr>
        <w:t xml:space="preserve"> with the exception of the background site in winter, where maximized in larger particles (0.9</w:t>
      </w:r>
      <w:r w:rsidR="006C5C52">
        <w:rPr>
          <w:rFonts w:ascii="Arial" w:hAnsi="Arial" w:cs="Arial"/>
          <w:sz w:val="20"/>
          <w:szCs w:val="20"/>
          <w:lang w:val="en-US"/>
        </w:rPr>
        <w:t>7</w:t>
      </w:r>
      <w:r w:rsidRPr="000F5013">
        <w:rPr>
          <w:rFonts w:ascii="Arial" w:hAnsi="Arial" w:cs="Arial"/>
          <w:sz w:val="20"/>
          <w:szCs w:val="20"/>
          <w:lang w:val="en-US"/>
        </w:rPr>
        <w:t xml:space="preserve">-1.5 </w:t>
      </w:r>
      <w:proofErr w:type="spellStart"/>
      <w:r w:rsidRPr="000F5013">
        <w:rPr>
          <w:rFonts w:ascii="Arial" w:hAnsi="Arial" w:cs="Arial"/>
          <w:sz w:val="20"/>
          <w:szCs w:val="20"/>
          <w:lang w:val="en-US"/>
        </w:rPr>
        <w:t>μm</w:t>
      </w:r>
      <w:proofErr w:type="spellEnd"/>
      <w:r w:rsidRPr="000F5013">
        <w:rPr>
          <w:rFonts w:ascii="Arial" w:hAnsi="Arial" w:cs="Arial"/>
          <w:sz w:val="20"/>
          <w:szCs w:val="20"/>
          <w:lang w:val="en-US"/>
        </w:rPr>
        <w:t>). Total elemental mass in winter accounted for 0.03-0.23% and 0.07-0.34% of PM mass at the traffic and the urban background site, presenting maximum content in 0.49-0.9</w:t>
      </w:r>
      <w:r w:rsidR="006C5C52">
        <w:rPr>
          <w:rFonts w:ascii="Arial" w:hAnsi="Arial" w:cs="Arial"/>
          <w:sz w:val="20"/>
          <w:szCs w:val="20"/>
          <w:lang w:val="en-US"/>
        </w:rPr>
        <w:t>7</w:t>
      </w:r>
      <w:r w:rsidRPr="000F50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F5013">
        <w:rPr>
          <w:rFonts w:ascii="Arial" w:hAnsi="Arial" w:cs="Arial"/>
          <w:sz w:val="20"/>
          <w:szCs w:val="20"/>
          <w:lang w:val="en-US"/>
        </w:rPr>
        <w:t>μm</w:t>
      </w:r>
      <w:proofErr w:type="spellEnd"/>
      <w:r w:rsidRPr="000F5013">
        <w:rPr>
          <w:rFonts w:ascii="Arial" w:hAnsi="Arial" w:cs="Arial"/>
          <w:sz w:val="20"/>
          <w:szCs w:val="20"/>
          <w:lang w:val="en-US"/>
        </w:rPr>
        <w:t xml:space="preserve"> and 0.9</w:t>
      </w:r>
      <w:r w:rsidR="006C5C52">
        <w:rPr>
          <w:rFonts w:ascii="Arial" w:hAnsi="Arial" w:cs="Arial"/>
          <w:sz w:val="20"/>
          <w:szCs w:val="20"/>
          <w:lang w:val="en-US"/>
        </w:rPr>
        <w:t>7</w:t>
      </w:r>
      <w:r w:rsidRPr="000F5013">
        <w:rPr>
          <w:rFonts w:ascii="Arial" w:hAnsi="Arial" w:cs="Arial"/>
          <w:sz w:val="20"/>
          <w:szCs w:val="20"/>
          <w:lang w:val="en-US"/>
        </w:rPr>
        <w:t xml:space="preserve">-1.5 </w:t>
      </w:r>
      <w:proofErr w:type="spellStart"/>
      <w:r w:rsidRPr="000F5013">
        <w:rPr>
          <w:rFonts w:ascii="Arial" w:hAnsi="Arial" w:cs="Arial"/>
          <w:sz w:val="20"/>
          <w:szCs w:val="20"/>
          <w:lang w:val="en-US"/>
        </w:rPr>
        <w:t>μm</w:t>
      </w:r>
      <w:proofErr w:type="spellEnd"/>
      <w:r w:rsidRPr="000F5013">
        <w:rPr>
          <w:rFonts w:ascii="Arial" w:hAnsi="Arial" w:cs="Arial"/>
          <w:sz w:val="20"/>
          <w:szCs w:val="20"/>
          <w:lang w:val="en-US"/>
        </w:rPr>
        <w:t xml:space="preserve">, respectively. The corresponding contents in summer were relatively higher (0.15-2.5% and 0.5-2.6 % at the traffic and the background site) with a shift of the maximum content to larger particle sizes (&gt;3 </w:t>
      </w:r>
      <w:proofErr w:type="spellStart"/>
      <w:r w:rsidRPr="000F5013">
        <w:rPr>
          <w:rFonts w:ascii="Arial" w:hAnsi="Arial" w:cs="Arial"/>
          <w:sz w:val="20"/>
          <w:szCs w:val="20"/>
          <w:lang w:val="en-US"/>
        </w:rPr>
        <w:t>μm</w:t>
      </w:r>
      <w:proofErr w:type="spellEnd"/>
      <w:r w:rsidRPr="000F5013">
        <w:rPr>
          <w:rFonts w:ascii="Arial" w:hAnsi="Arial" w:cs="Arial"/>
          <w:sz w:val="20"/>
          <w:szCs w:val="20"/>
          <w:lang w:val="en-US"/>
        </w:rPr>
        <w:t xml:space="preserve"> and  0.9</w:t>
      </w:r>
      <w:r w:rsidR="006C5C52">
        <w:rPr>
          <w:rFonts w:ascii="Arial" w:hAnsi="Arial" w:cs="Arial"/>
          <w:sz w:val="20"/>
          <w:szCs w:val="20"/>
          <w:lang w:val="en-US"/>
        </w:rPr>
        <w:t>7</w:t>
      </w:r>
      <w:r w:rsidRPr="000F5013">
        <w:rPr>
          <w:rFonts w:ascii="Arial" w:hAnsi="Arial" w:cs="Arial"/>
          <w:sz w:val="20"/>
          <w:szCs w:val="20"/>
          <w:lang w:val="en-US"/>
        </w:rPr>
        <w:t xml:space="preserve">-3 </w:t>
      </w:r>
      <w:proofErr w:type="spellStart"/>
      <w:r w:rsidRPr="000F5013">
        <w:rPr>
          <w:rFonts w:ascii="Arial" w:hAnsi="Arial" w:cs="Arial"/>
          <w:sz w:val="20"/>
          <w:szCs w:val="20"/>
          <w:lang w:val="en-US"/>
        </w:rPr>
        <w:t>μm</w:t>
      </w:r>
      <w:proofErr w:type="spellEnd"/>
      <w:r w:rsidRPr="000F5013">
        <w:rPr>
          <w:rFonts w:ascii="Arial" w:hAnsi="Arial" w:cs="Arial"/>
          <w:sz w:val="20"/>
          <w:szCs w:val="20"/>
          <w:lang w:val="en-US"/>
        </w:rPr>
        <w:t>).</w:t>
      </w:r>
    </w:p>
    <w:p w:rsidR="00222F6B" w:rsidRPr="000E5616" w:rsidRDefault="002A60D8" w:rsidP="00F87708">
      <w:pPr>
        <w:autoSpaceDE w:val="0"/>
        <w:autoSpaceDN w:val="0"/>
        <w:adjustRightInd w:val="0"/>
        <w:spacing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0E5616">
        <w:rPr>
          <w:rFonts w:ascii="Arial" w:hAnsi="Arial" w:cs="Arial"/>
          <w:sz w:val="20"/>
          <w:szCs w:val="20"/>
          <w:lang w:val="en-US"/>
        </w:rPr>
        <w:t xml:space="preserve">DTT-based </w:t>
      </w:r>
      <w:proofErr w:type="spellStart"/>
      <w:r w:rsidRPr="000E5616">
        <w:rPr>
          <w:rFonts w:ascii="Arial" w:hAnsi="Arial" w:cs="Arial"/>
          <w:sz w:val="20"/>
          <w:szCs w:val="20"/>
          <w:lang w:val="en-US"/>
        </w:rPr>
        <w:t>redox</w:t>
      </w:r>
      <w:proofErr w:type="spellEnd"/>
      <w:r w:rsidRPr="000E5616">
        <w:rPr>
          <w:rFonts w:ascii="Arial" w:hAnsi="Arial" w:cs="Arial"/>
          <w:sz w:val="20"/>
          <w:szCs w:val="20"/>
          <w:lang w:val="en-US"/>
        </w:rPr>
        <w:t xml:space="preserve"> activity was higher at the urban background site (0.122-0.459 and 0.028-0.340 </w:t>
      </w:r>
      <w:proofErr w:type="spellStart"/>
      <w:r w:rsidRPr="000E5616">
        <w:rPr>
          <w:rFonts w:ascii="Arial" w:hAnsi="Arial" w:cs="Arial"/>
          <w:sz w:val="20"/>
          <w:szCs w:val="20"/>
          <w:lang w:val="en-US"/>
        </w:rPr>
        <w:t>nmol</w:t>
      </w:r>
      <w:proofErr w:type="spellEnd"/>
      <w:r w:rsidRPr="000E5616">
        <w:rPr>
          <w:rFonts w:ascii="Arial" w:hAnsi="Arial" w:cs="Arial"/>
          <w:sz w:val="20"/>
          <w:szCs w:val="20"/>
          <w:lang w:val="en-US"/>
        </w:rPr>
        <w:t xml:space="preserve"> min</w:t>
      </w:r>
      <w:r w:rsidRPr="000E5616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Pr="000E5616">
        <w:rPr>
          <w:rFonts w:ascii="Arial" w:hAnsi="Arial" w:cs="Arial"/>
          <w:sz w:val="20"/>
          <w:szCs w:val="20"/>
        </w:rPr>
        <w:t>μ</w:t>
      </w:r>
      <w:r w:rsidRPr="000E5616">
        <w:rPr>
          <w:rFonts w:ascii="Arial" w:hAnsi="Arial" w:cs="Arial"/>
          <w:sz w:val="20"/>
          <w:szCs w:val="20"/>
          <w:lang w:val="en-US"/>
        </w:rPr>
        <w:t>g</w:t>
      </w:r>
      <w:r w:rsidRPr="000E5616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Pr="000E5616">
        <w:rPr>
          <w:rFonts w:ascii="Arial" w:hAnsi="Arial" w:cs="Arial"/>
          <w:sz w:val="20"/>
          <w:szCs w:val="20"/>
          <w:lang w:val="en-US"/>
        </w:rPr>
        <w:t xml:space="preserve">, in the cold and the warm period, respectively) than at the traffic site (0.023-0.306 and 0.047-0.271 </w:t>
      </w:r>
      <w:proofErr w:type="spellStart"/>
      <w:r w:rsidRPr="000E5616">
        <w:rPr>
          <w:rFonts w:ascii="Arial" w:hAnsi="Arial" w:cs="Arial"/>
          <w:sz w:val="20"/>
          <w:szCs w:val="20"/>
          <w:lang w:val="en-US"/>
        </w:rPr>
        <w:t>nmol</w:t>
      </w:r>
      <w:proofErr w:type="spellEnd"/>
      <w:r w:rsidRPr="000E5616">
        <w:rPr>
          <w:rFonts w:ascii="Arial" w:hAnsi="Arial" w:cs="Arial"/>
          <w:sz w:val="20"/>
          <w:szCs w:val="20"/>
          <w:lang w:val="en-US"/>
        </w:rPr>
        <w:t xml:space="preserve"> min</w:t>
      </w:r>
      <w:r w:rsidRPr="000E5616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Pr="000E5616">
        <w:rPr>
          <w:rFonts w:ascii="Arial" w:hAnsi="Arial" w:cs="Arial"/>
          <w:sz w:val="20"/>
          <w:szCs w:val="20"/>
        </w:rPr>
        <w:t>μ</w:t>
      </w:r>
      <w:r w:rsidRPr="000E5616">
        <w:rPr>
          <w:rFonts w:ascii="Arial" w:hAnsi="Arial" w:cs="Arial"/>
          <w:sz w:val="20"/>
          <w:szCs w:val="20"/>
          <w:lang w:val="en-US"/>
        </w:rPr>
        <w:t>g</w:t>
      </w:r>
      <w:r w:rsidRPr="000E5616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Pr="000E5616">
        <w:rPr>
          <w:rFonts w:ascii="Arial" w:hAnsi="Arial" w:cs="Arial"/>
          <w:sz w:val="20"/>
          <w:szCs w:val="20"/>
          <w:lang w:val="en-US"/>
        </w:rPr>
        <w:t>, in the cold and the warm period, respectively)</w:t>
      </w:r>
      <w:r w:rsidR="00574EBC" w:rsidRPr="000E5616">
        <w:rPr>
          <w:rFonts w:ascii="Arial" w:hAnsi="Arial" w:cs="Arial"/>
          <w:sz w:val="20"/>
          <w:szCs w:val="20"/>
          <w:lang w:val="en-US"/>
        </w:rPr>
        <w:t xml:space="preserve"> </w:t>
      </w:r>
      <w:r w:rsidR="007E4D62" w:rsidRPr="000E5616">
        <w:rPr>
          <w:rFonts w:ascii="Arial" w:hAnsi="Arial" w:cs="Arial"/>
          <w:sz w:val="20"/>
          <w:szCs w:val="20"/>
          <w:lang w:val="en-US"/>
        </w:rPr>
        <w:t>being</w:t>
      </w:r>
      <w:r w:rsidR="00574EBC" w:rsidRPr="000E5616">
        <w:rPr>
          <w:rFonts w:ascii="Arial" w:hAnsi="Arial" w:cs="Arial"/>
          <w:sz w:val="20"/>
          <w:szCs w:val="20"/>
          <w:lang w:val="en-US"/>
        </w:rPr>
        <w:t xml:space="preserve"> </w:t>
      </w:r>
      <w:r w:rsidRPr="000E5616">
        <w:rPr>
          <w:rFonts w:ascii="Arial" w:hAnsi="Arial" w:cs="Arial"/>
          <w:sz w:val="20"/>
          <w:szCs w:val="20"/>
          <w:lang w:val="en-US"/>
        </w:rPr>
        <w:t>highest in 0.49-0.9</w:t>
      </w:r>
      <w:r w:rsidR="006C5C52">
        <w:rPr>
          <w:rFonts w:ascii="Arial" w:hAnsi="Arial" w:cs="Arial"/>
          <w:sz w:val="20"/>
          <w:szCs w:val="20"/>
          <w:lang w:val="en-US"/>
        </w:rPr>
        <w:t>7</w:t>
      </w:r>
      <w:r w:rsidRPr="000E5616">
        <w:rPr>
          <w:rFonts w:ascii="Arial" w:hAnsi="Arial" w:cs="Arial"/>
          <w:sz w:val="20"/>
          <w:szCs w:val="20"/>
          <w:lang w:val="en-US"/>
        </w:rPr>
        <w:t xml:space="preserve"> </w:t>
      </w:r>
      <w:r w:rsidRPr="000E5616">
        <w:rPr>
          <w:rFonts w:ascii="Arial" w:hAnsi="Arial" w:cs="Arial"/>
          <w:sz w:val="20"/>
          <w:szCs w:val="20"/>
        </w:rPr>
        <w:t>μ</w:t>
      </w:r>
      <w:r w:rsidRPr="000E5616">
        <w:rPr>
          <w:rFonts w:ascii="Arial" w:hAnsi="Arial" w:cs="Arial"/>
          <w:sz w:val="20"/>
          <w:szCs w:val="20"/>
          <w:lang w:val="en-US"/>
        </w:rPr>
        <w:t>m.</w:t>
      </w:r>
      <w:r w:rsidR="00773013" w:rsidRPr="000E5616">
        <w:rPr>
          <w:rFonts w:ascii="Arial" w:hAnsi="Arial" w:cs="Arial"/>
          <w:sz w:val="20"/>
          <w:szCs w:val="20"/>
          <w:lang w:val="en-GB"/>
        </w:rPr>
        <w:t xml:space="preserve"> </w:t>
      </w:r>
      <w:r w:rsidR="00980249" w:rsidRPr="000E5616">
        <w:rPr>
          <w:rFonts w:ascii="Arial" w:hAnsi="Arial" w:cs="Arial"/>
          <w:sz w:val="20"/>
          <w:szCs w:val="20"/>
          <w:lang w:val="en-GB"/>
        </w:rPr>
        <w:t xml:space="preserve">WSOC correlated significantly with </w:t>
      </w:r>
      <w:proofErr w:type="spellStart"/>
      <w:r w:rsidR="00980249" w:rsidRPr="000E5616">
        <w:rPr>
          <w:rFonts w:ascii="Arial" w:hAnsi="Arial" w:cs="Arial"/>
          <w:sz w:val="20"/>
          <w:szCs w:val="20"/>
          <w:lang w:val="en-GB"/>
        </w:rPr>
        <w:t>redox</w:t>
      </w:r>
      <w:proofErr w:type="spellEnd"/>
      <w:r w:rsidR="00980249" w:rsidRPr="000E5616">
        <w:rPr>
          <w:rFonts w:ascii="Arial" w:hAnsi="Arial" w:cs="Arial"/>
          <w:sz w:val="20"/>
          <w:szCs w:val="20"/>
          <w:lang w:val="en-GB"/>
        </w:rPr>
        <w:t xml:space="preserve"> activity only in winter</w:t>
      </w:r>
      <w:r w:rsidR="007E4D62" w:rsidRPr="000E5616">
        <w:rPr>
          <w:rFonts w:ascii="Arial" w:hAnsi="Arial" w:cs="Arial"/>
          <w:sz w:val="20"/>
          <w:szCs w:val="20"/>
          <w:lang w:val="en-GB"/>
        </w:rPr>
        <w:t xml:space="preserve"> suggesting </w:t>
      </w:r>
      <w:r w:rsidR="007E4D62" w:rsidRPr="000E5616">
        <w:rPr>
          <w:rFonts w:ascii="Arial" w:hAnsi="Arial" w:cs="Arial"/>
          <w:sz w:val="20"/>
          <w:szCs w:val="20"/>
          <w:lang w:val="en-US"/>
        </w:rPr>
        <w:t xml:space="preserve">that the increased </w:t>
      </w:r>
      <w:r w:rsidR="000F5013" w:rsidRPr="000E5616">
        <w:rPr>
          <w:rFonts w:ascii="Arial" w:hAnsi="Arial" w:cs="Arial"/>
          <w:sz w:val="20"/>
          <w:szCs w:val="20"/>
          <w:lang w:val="en-GB"/>
        </w:rPr>
        <w:t>water-soluble organic aerosols of  both primary (e.g., biomass burning) and secondary origin</w:t>
      </w:r>
      <w:r w:rsidR="000F5013" w:rsidRPr="000E5616">
        <w:rPr>
          <w:rFonts w:ascii="Arial" w:hAnsi="Arial" w:cs="Arial"/>
          <w:sz w:val="20"/>
          <w:szCs w:val="20"/>
          <w:lang w:val="en-US"/>
        </w:rPr>
        <w:t xml:space="preserve"> </w:t>
      </w:r>
      <w:r w:rsidR="007E4D62" w:rsidRPr="000E5616">
        <w:rPr>
          <w:rFonts w:ascii="Arial" w:hAnsi="Arial" w:cs="Arial"/>
          <w:sz w:val="20"/>
          <w:szCs w:val="20"/>
          <w:lang w:val="en-US"/>
        </w:rPr>
        <w:t xml:space="preserve">enhance </w:t>
      </w:r>
      <w:r w:rsidR="000F5013" w:rsidRPr="000E5616">
        <w:rPr>
          <w:rFonts w:ascii="Arial" w:hAnsi="Arial" w:cs="Arial"/>
          <w:sz w:val="20"/>
          <w:szCs w:val="20"/>
          <w:lang w:val="en-US"/>
        </w:rPr>
        <w:t>the</w:t>
      </w:r>
      <w:r w:rsidR="007E4D62" w:rsidRPr="000E5616">
        <w:rPr>
          <w:rFonts w:ascii="Arial" w:hAnsi="Arial" w:cs="Arial"/>
          <w:sz w:val="20"/>
          <w:szCs w:val="20"/>
          <w:lang w:val="en-US"/>
        </w:rPr>
        <w:t xml:space="preserve"> oxidative potentia</w:t>
      </w:r>
      <w:r w:rsidR="000F5013" w:rsidRPr="000E5616">
        <w:rPr>
          <w:rFonts w:ascii="Arial" w:hAnsi="Arial" w:cs="Arial"/>
          <w:sz w:val="20"/>
          <w:szCs w:val="20"/>
          <w:lang w:val="en-US"/>
        </w:rPr>
        <w:t>l of ambient PM</w:t>
      </w:r>
      <w:r w:rsidR="00980249" w:rsidRPr="000E5616">
        <w:rPr>
          <w:rFonts w:ascii="Arial" w:hAnsi="Arial" w:cs="Arial"/>
          <w:sz w:val="20"/>
          <w:szCs w:val="20"/>
          <w:lang w:val="en-US"/>
        </w:rPr>
        <w:t>.</w:t>
      </w:r>
      <w:r w:rsidR="001E47AF" w:rsidRPr="000E5616">
        <w:rPr>
          <w:rFonts w:ascii="Arial" w:hAnsi="Arial" w:cs="Arial"/>
          <w:sz w:val="20"/>
          <w:szCs w:val="20"/>
          <w:lang w:val="en-US"/>
        </w:rPr>
        <w:t xml:space="preserve"> </w:t>
      </w:r>
      <w:r w:rsidR="00222F6B" w:rsidRPr="000E5616">
        <w:rPr>
          <w:rFonts w:ascii="Arial" w:hAnsi="Arial" w:cs="Arial"/>
          <w:sz w:val="20"/>
          <w:szCs w:val="20"/>
          <w:lang w:val="en-US"/>
        </w:rPr>
        <w:t xml:space="preserve">MTT-based </w:t>
      </w:r>
      <w:proofErr w:type="spellStart"/>
      <w:r w:rsidR="00222F6B" w:rsidRPr="000E5616">
        <w:rPr>
          <w:rFonts w:ascii="Arial" w:hAnsi="Arial" w:cs="Arial"/>
          <w:sz w:val="20"/>
          <w:szCs w:val="20"/>
          <w:lang w:val="en-US"/>
        </w:rPr>
        <w:t>cytotoxicity</w:t>
      </w:r>
      <w:proofErr w:type="spellEnd"/>
      <w:r w:rsidR="00222F6B" w:rsidRPr="000E5616">
        <w:rPr>
          <w:rFonts w:ascii="Arial" w:hAnsi="Arial" w:cs="Arial"/>
          <w:sz w:val="20"/>
          <w:szCs w:val="20"/>
          <w:lang w:val="en-US"/>
        </w:rPr>
        <w:t xml:space="preserve"> </w:t>
      </w:r>
      <w:r w:rsidR="00F814E8" w:rsidRPr="000E5616">
        <w:rPr>
          <w:rFonts w:ascii="Arial" w:hAnsi="Arial" w:cs="Arial"/>
          <w:sz w:val="20"/>
          <w:szCs w:val="20"/>
          <w:lang w:val="en-US"/>
        </w:rPr>
        <w:t xml:space="preserve">of all particle size </w:t>
      </w:r>
      <w:r w:rsidR="001E47AF" w:rsidRPr="000E5616">
        <w:rPr>
          <w:rFonts w:ascii="Arial" w:hAnsi="Arial" w:cs="Arial"/>
          <w:sz w:val="20"/>
          <w:szCs w:val="20"/>
          <w:lang w:val="en-US"/>
        </w:rPr>
        <w:t>fractions</w:t>
      </w:r>
      <w:r w:rsidR="00F814E8" w:rsidRPr="000E5616">
        <w:rPr>
          <w:rFonts w:ascii="Arial" w:hAnsi="Arial" w:cs="Arial"/>
          <w:sz w:val="20"/>
          <w:szCs w:val="20"/>
          <w:lang w:val="en-US"/>
        </w:rPr>
        <w:t xml:space="preserve"> </w:t>
      </w:r>
      <w:r w:rsidR="00222F6B" w:rsidRPr="000E5616">
        <w:rPr>
          <w:rFonts w:ascii="Arial" w:hAnsi="Arial" w:cs="Arial"/>
          <w:sz w:val="20"/>
          <w:szCs w:val="20"/>
          <w:lang w:val="en-US"/>
        </w:rPr>
        <w:t xml:space="preserve">in </w:t>
      </w:r>
      <w:r w:rsidR="00980249" w:rsidRPr="000E5616">
        <w:rPr>
          <w:rFonts w:ascii="Arial" w:hAnsi="Arial" w:cs="Arial"/>
          <w:sz w:val="20"/>
          <w:szCs w:val="20"/>
          <w:lang w:val="en-US"/>
        </w:rPr>
        <w:t>winter</w:t>
      </w:r>
      <w:r w:rsidR="00F814E8" w:rsidRPr="000E5616">
        <w:rPr>
          <w:rFonts w:ascii="Arial" w:hAnsi="Arial" w:cs="Arial"/>
          <w:sz w:val="20"/>
          <w:szCs w:val="20"/>
          <w:lang w:val="en-US"/>
        </w:rPr>
        <w:t xml:space="preserve"> </w:t>
      </w:r>
      <w:r w:rsidR="000F5013" w:rsidRPr="000E5616">
        <w:rPr>
          <w:rFonts w:ascii="Arial" w:hAnsi="Arial" w:cs="Arial"/>
          <w:sz w:val="20"/>
          <w:szCs w:val="20"/>
          <w:lang w:val="en-US"/>
        </w:rPr>
        <w:t>were</w:t>
      </w:r>
      <w:r w:rsidR="001E47AF" w:rsidRPr="000E5616">
        <w:rPr>
          <w:rFonts w:ascii="Arial" w:hAnsi="Arial" w:cs="Arial"/>
          <w:sz w:val="20"/>
          <w:szCs w:val="20"/>
          <w:lang w:val="en-US"/>
        </w:rPr>
        <w:t xml:space="preserve"> </w:t>
      </w:r>
      <w:r w:rsidR="00222F6B" w:rsidRPr="000E5616">
        <w:rPr>
          <w:rFonts w:ascii="Arial" w:hAnsi="Arial" w:cs="Arial"/>
          <w:sz w:val="20"/>
          <w:szCs w:val="20"/>
          <w:lang w:val="en-US"/>
        </w:rPr>
        <w:t xml:space="preserve">3-5 times higher at the traffic than the background site. In </w:t>
      </w:r>
      <w:r w:rsidR="00980249" w:rsidRPr="000E5616">
        <w:rPr>
          <w:rFonts w:ascii="Arial" w:hAnsi="Arial" w:cs="Arial"/>
          <w:sz w:val="20"/>
          <w:szCs w:val="20"/>
          <w:lang w:val="en-US"/>
        </w:rPr>
        <w:t>summer</w:t>
      </w:r>
      <w:r w:rsidR="00222F6B" w:rsidRPr="000E561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F814E8" w:rsidRPr="000E5616">
        <w:rPr>
          <w:rFonts w:ascii="Arial" w:hAnsi="Arial" w:cs="Arial"/>
          <w:sz w:val="20"/>
          <w:szCs w:val="20"/>
          <w:lang w:val="en-US"/>
        </w:rPr>
        <w:t>cytotoxicity</w:t>
      </w:r>
      <w:proofErr w:type="spellEnd"/>
      <w:r w:rsidR="00F814E8" w:rsidRPr="000E5616">
        <w:rPr>
          <w:rFonts w:ascii="Arial" w:hAnsi="Arial" w:cs="Arial"/>
          <w:sz w:val="20"/>
          <w:szCs w:val="20"/>
          <w:lang w:val="en-US"/>
        </w:rPr>
        <w:t xml:space="preserve"> was similar at the two sites for </w:t>
      </w:r>
      <w:r w:rsidR="00222F6B" w:rsidRPr="000E5616">
        <w:rPr>
          <w:rFonts w:ascii="Arial" w:hAnsi="Arial" w:cs="Arial"/>
          <w:sz w:val="20"/>
          <w:szCs w:val="20"/>
          <w:lang w:val="en-US"/>
        </w:rPr>
        <w:t xml:space="preserve">most </w:t>
      </w:r>
      <w:r w:rsidR="00980249" w:rsidRPr="000E5616">
        <w:rPr>
          <w:rFonts w:ascii="Arial" w:hAnsi="Arial" w:cs="Arial"/>
          <w:sz w:val="20"/>
          <w:szCs w:val="20"/>
          <w:lang w:val="en-US"/>
        </w:rPr>
        <w:t>size ranges</w:t>
      </w:r>
      <w:r w:rsidR="00222F6B" w:rsidRPr="000E5616">
        <w:rPr>
          <w:rFonts w:ascii="Arial" w:hAnsi="Arial" w:cs="Arial"/>
          <w:sz w:val="20"/>
          <w:szCs w:val="20"/>
          <w:lang w:val="en-US"/>
        </w:rPr>
        <w:t xml:space="preserve">, with the exception of 1.5-3 </w:t>
      </w:r>
      <w:proofErr w:type="spellStart"/>
      <w:r w:rsidR="00222F6B" w:rsidRPr="000E5616">
        <w:rPr>
          <w:rFonts w:ascii="Arial" w:eastAsia="Times New Roman" w:hAnsi="Arial" w:cs="Arial"/>
          <w:sz w:val="20"/>
          <w:szCs w:val="20"/>
          <w:lang w:val="en-GB"/>
        </w:rPr>
        <w:t>μm</w:t>
      </w:r>
      <w:proofErr w:type="spellEnd"/>
      <w:r w:rsidR="00222F6B" w:rsidRPr="000E5616">
        <w:rPr>
          <w:rFonts w:ascii="Arial" w:eastAsia="Times New Roman" w:hAnsi="Arial" w:cs="Arial"/>
          <w:sz w:val="20"/>
          <w:szCs w:val="20"/>
          <w:lang w:val="en-GB"/>
        </w:rPr>
        <w:t xml:space="preserve"> that showed </w:t>
      </w:r>
      <w:r w:rsidR="000F5013" w:rsidRPr="000E5616">
        <w:rPr>
          <w:rFonts w:ascii="Arial" w:eastAsia="Times New Roman" w:hAnsi="Arial" w:cs="Arial"/>
          <w:sz w:val="20"/>
          <w:szCs w:val="20"/>
          <w:lang w:val="en-GB"/>
        </w:rPr>
        <w:t>higher (</w:t>
      </w:r>
      <w:r w:rsidR="00F814E8" w:rsidRPr="000E5616">
        <w:rPr>
          <w:rFonts w:ascii="Arial" w:eastAsia="Times New Roman" w:hAnsi="Arial" w:cs="Arial"/>
          <w:sz w:val="20"/>
          <w:szCs w:val="20"/>
          <w:lang w:val="en-GB"/>
        </w:rPr>
        <w:t>~</w:t>
      </w:r>
      <w:r w:rsidR="00222F6B" w:rsidRPr="000E5616">
        <w:rPr>
          <w:rFonts w:ascii="Arial" w:eastAsia="Times New Roman" w:hAnsi="Arial" w:cs="Arial"/>
          <w:sz w:val="20"/>
          <w:szCs w:val="20"/>
          <w:lang w:val="en-GB"/>
        </w:rPr>
        <w:t>2-fold</w:t>
      </w:r>
      <w:r w:rsidR="000F5013" w:rsidRPr="000E5616">
        <w:rPr>
          <w:rFonts w:ascii="Arial" w:eastAsia="Times New Roman" w:hAnsi="Arial" w:cs="Arial"/>
          <w:sz w:val="20"/>
          <w:szCs w:val="20"/>
          <w:lang w:val="en-GB"/>
        </w:rPr>
        <w:t>)</w:t>
      </w:r>
      <w:r w:rsidR="00222F6B" w:rsidRPr="000E5616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222F6B" w:rsidRPr="000E5616">
        <w:rPr>
          <w:rFonts w:ascii="Arial" w:eastAsia="Times New Roman" w:hAnsi="Arial" w:cs="Arial"/>
          <w:sz w:val="20"/>
          <w:szCs w:val="20"/>
          <w:lang w:val="en-GB"/>
        </w:rPr>
        <w:t>cytotoxicity</w:t>
      </w:r>
      <w:proofErr w:type="spellEnd"/>
      <w:r w:rsidR="00222F6B" w:rsidRPr="000E5616">
        <w:rPr>
          <w:rFonts w:ascii="Arial" w:eastAsia="Times New Roman" w:hAnsi="Arial" w:cs="Arial"/>
          <w:sz w:val="20"/>
          <w:szCs w:val="20"/>
          <w:lang w:val="en-GB"/>
        </w:rPr>
        <w:t xml:space="preserve"> at the background site. </w:t>
      </w:r>
      <w:r w:rsidR="0048750B" w:rsidRPr="000E5616">
        <w:rPr>
          <w:rFonts w:ascii="Arial" w:hAnsi="Arial" w:cs="Arial"/>
          <w:sz w:val="20"/>
          <w:szCs w:val="20"/>
          <w:lang w:val="en-GB"/>
        </w:rPr>
        <w:t>C</w:t>
      </w:r>
      <w:r w:rsidR="00773013" w:rsidRPr="000E5616">
        <w:rPr>
          <w:rFonts w:ascii="Arial" w:hAnsi="Arial" w:cs="Arial"/>
          <w:sz w:val="20"/>
          <w:szCs w:val="20"/>
          <w:lang w:val="en-GB"/>
        </w:rPr>
        <w:t xml:space="preserve">hemical </w:t>
      </w:r>
      <w:r w:rsidR="000F5013" w:rsidRPr="000E5616">
        <w:rPr>
          <w:rFonts w:ascii="Arial" w:hAnsi="Arial" w:cs="Arial"/>
          <w:sz w:val="20"/>
          <w:szCs w:val="20"/>
          <w:lang w:val="en-GB"/>
        </w:rPr>
        <w:t xml:space="preserve">that </w:t>
      </w:r>
      <w:r w:rsidR="00773013" w:rsidRPr="000E5616">
        <w:rPr>
          <w:rFonts w:ascii="Arial" w:hAnsi="Arial" w:cs="Arial"/>
          <w:sz w:val="20"/>
          <w:szCs w:val="20"/>
          <w:lang w:val="en-GB"/>
        </w:rPr>
        <w:t>correlate</w:t>
      </w:r>
      <w:r w:rsidR="000F5013" w:rsidRPr="000E5616">
        <w:rPr>
          <w:rFonts w:ascii="Arial" w:hAnsi="Arial" w:cs="Arial"/>
          <w:sz w:val="20"/>
          <w:szCs w:val="20"/>
          <w:lang w:val="en-GB"/>
        </w:rPr>
        <w:t>d</w:t>
      </w:r>
      <w:r w:rsidR="00773013" w:rsidRPr="000E5616">
        <w:rPr>
          <w:rFonts w:ascii="Arial" w:hAnsi="Arial" w:cs="Arial"/>
          <w:sz w:val="20"/>
          <w:szCs w:val="20"/>
          <w:lang w:val="en-GB"/>
        </w:rPr>
        <w:t xml:space="preserve"> with the </w:t>
      </w:r>
      <w:proofErr w:type="spellStart"/>
      <w:r w:rsidR="00773013" w:rsidRPr="000E5616">
        <w:rPr>
          <w:rFonts w:ascii="Arial" w:hAnsi="Arial" w:cs="Arial"/>
          <w:sz w:val="20"/>
          <w:szCs w:val="20"/>
          <w:lang w:val="en-GB"/>
        </w:rPr>
        <w:t>cytotoxicity</w:t>
      </w:r>
      <w:proofErr w:type="spellEnd"/>
      <w:r w:rsidR="00773013" w:rsidRPr="000E5616">
        <w:rPr>
          <w:rFonts w:ascii="Arial" w:hAnsi="Arial" w:cs="Arial"/>
          <w:sz w:val="20"/>
          <w:szCs w:val="20"/>
          <w:lang w:val="en-GB"/>
        </w:rPr>
        <w:t xml:space="preserve"> were Fe and Zn at the traffic site in summer, as well as </w:t>
      </w:r>
      <w:proofErr w:type="spellStart"/>
      <w:r w:rsidR="00773013" w:rsidRPr="000E5616">
        <w:rPr>
          <w:rFonts w:ascii="Arial" w:hAnsi="Arial" w:cs="Arial"/>
          <w:sz w:val="20"/>
          <w:szCs w:val="20"/>
          <w:lang w:val="en-GB"/>
        </w:rPr>
        <w:t>Ba</w:t>
      </w:r>
      <w:proofErr w:type="spellEnd"/>
      <w:r w:rsidR="00773013" w:rsidRPr="000E5616">
        <w:rPr>
          <w:rFonts w:ascii="Arial" w:hAnsi="Arial" w:cs="Arial"/>
          <w:sz w:val="20"/>
          <w:szCs w:val="20"/>
          <w:lang w:val="en-GB"/>
        </w:rPr>
        <w:t xml:space="preserve"> and </w:t>
      </w:r>
      <w:r w:rsidR="002A4E1F" w:rsidRPr="000E5616">
        <w:rPr>
          <w:rFonts w:ascii="Arial" w:hAnsi="Arial" w:cs="Arial"/>
          <w:sz w:val="20"/>
          <w:szCs w:val="20"/>
          <w:lang w:val="en-US"/>
        </w:rPr>
        <w:t>NH</w:t>
      </w:r>
      <w:r w:rsidR="002A4E1F" w:rsidRPr="000E5616">
        <w:rPr>
          <w:rFonts w:ascii="Arial" w:hAnsi="Arial" w:cs="Arial"/>
          <w:sz w:val="20"/>
          <w:szCs w:val="20"/>
          <w:vertAlign w:val="subscript"/>
          <w:lang w:val="en-US"/>
        </w:rPr>
        <w:t>4</w:t>
      </w:r>
      <w:r w:rsidR="002A4E1F" w:rsidRPr="000E5616">
        <w:rPr>
          <w:rFonts w:ascii="Arial" w:hAnsi="Arial" w:cs="Arial"/>
          <w:sz w:val="20"/>
          <w:szCs w:val="20"/>
          <w:vertAlign w:val="superscript"/>
          <w:lang w:val="en-US"/>
        </w:rPr>
        <w:t xml:space="preserve">+ </w:t>
      </w:r>
      <w:r w:rsidR="00773013" w:rsidRPr="000E5616">
        <w:rPr>
          <w:rFonts w:ascii="Arial" w:hAnsi="Arial" w:cs="Arial"/>
          <w:sz w:val="20"/>
          <w:szCs w:val="20"/>
          <w:lang w:val="en-GB"/>
        </w:rPr>
        <w:t>at the</w:t>
      </w:r>
      <w:r w:rsidR="00773013" w:rsidRPr="000E5616">
        <w:rPr>
          <w:rFonts w:ascii="Arial" w:hAnsi="Arial" w:cs="Arial"/>
          <w:color w:val="000000"/>
          <w:sz w:val="20"/>
          <w:szCs w:val="20"/>
          <w:lang w:val="en-US"/>
        </w:rPr>
        <w:t xml:space="preserve"> background site</w:t>
      </w:r>
      <w:r w:rsidR="00773013" w:rsidRPr="000E5616">
        <w:rPr>
          <w:rFonts w:ascii="Arial" w:hAnsi="Arial" w:cs="Arial"/>
          <w:sz w:val="20"/>
          <w:szCs w:val="20"/>
          <w:lang w:val="en-GB"/>
        </w:rPr>
        <w:t xml:space="preserve"> in winter and summer, respectively.</w:t>
      </w:r>
      <w:r w:rsidR="000F5013" w:rsidRPr="000E5616">
        <w:rPr>
          <w:rFonts w:ascii="Arial" w:hAnsi="Arial" w:cs="Arial"/>
          <w:sz w:val="20"/>
          <w:szCs w:val="20"/>
          <w:lang w:val="en-GB"/>
        </w:rPr>
        <w:t xml:space="preserve"> </w:t>
      </w:r>
      <w:r w:rsidR="00222F6B" w:rsidRPr="000E5616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LDH activity in all samples was negligible, suggesting </w:t>
      </w:r>
      <w:r w:rsidR="004A0F76" w:rsidRPr="000E5616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that </w:t>
      </w:r>
      <w:r w:rsidR="004A0F76" w:rsidRPr="000E5616">
        <w:rPr>
          <w:rFonts w:ascii="Arial" w:hAnsi="Arial" w:cs="Arial"/>
          <w:sz w:val="20"/>
          <w:szCs w:val="20"/>
          <w:lang w:val="en-US"/>
        </w:rPr>
        <w:t xml:space="preserve">aqueous PM extracts do not affect </w:t>
      </w:r>
      <w:r w:rsidR="00222F6B" w:rsidRPr="000E5616">
        <w:rPr>
          <w:rFonts w:ascii="Arial" w:eastAsia="Arial" w:hAnsi="Arial" w:cs="Arial"/>
          <w:color w:val="000000"/>
          <w:sz w:val="20"/>
          <w:szCs w:val="20"/>
          <w:lang w:val="en-US"/>
        </w:rPr>
        <w:t>the integrity of the plasma membrane.</w:t>
      </w:r>
    </w:p>
    <w:p w:rsidR="00473754" w:rsidRDefault="00EA2159" w:rsidP="001E47AF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WS fractions of f</w:t>
      </w:r>
      <w:r w:rsidR="00222F6B" w:rsidRPr="000F5013">
        <w:rPr>
          <w:rFonts w:ascii="Arial" w:eastAsia="Times New Roman" w:hAnsi="Arial" w:cs="Arial"/>
          <w:sz w:val="20"/>
          <w:szCs w:val="20"/>
          <w:lang w:val="en-GB"/>
        </w:rPr>
        <w:t>ine particles</w:t>
      </w:r>
      <w:r w:rsidR="001E47AF">
        <w:rPr>
          <w:rFonts w:ascii="Arial" w:eastAsia="Times New Roman" w:hAnsi="Arial" w:cs="Arial"/>
          <w:sz w:val="20"/>
          <w:szCs w:val="20"/>
          <w:lang w:val="en-GB"/>
        </w:rPr>
        <w:t xml:space="preserve"> (</w:t>
      </w:r>
      <w:r w:rsidR="001E47AF" w:rsidRPr="000F5013">
        <w:rPr>
          <w:rFonts w:ascii="Arial" w:hAnsi="Arial" w:cs="Arial"/>
          <w:sz w:val="20"/>
          <w:szCs w:val="20"/>
          <w:lang w:val="en-US"/>
        </w:rPr>
        <w:t>0.9</w:t>
      </w:r>
      <w:r w:rsidR="006C5C52">
        <w:rPr>
          <w:rFonts w:ascii="Arial" w:hAnsi="Arial" w:cs="Arial"/>
          <w:sz w:val="20"/>
          <w:szCs w:val="20"/>
          <w:lang w:val="en-US"/>
        </w:rPr>
        <w:t>7</w:t>
      </w:r>
      <w:r w:rsidR="001E47AF" w:rsidRPr="000F5013">
        <w:rPr>
          <w:rFonts w:ascii="Arial" w:hAnsi="Arial" w:cs="Arial"/>
          <w:sz w:val="20"/>
          <w:szCs w:val="20"/>
          <w:lang w:val="en-US"/>
        </w:rPr>
        <w:t>-</w:t>
      </w:r>
      <w:r w:rsidR="001E47AF">
        <w:rPr>
          <w:rFonts w:ascii="Arial" w:hAnsi="Arial" w:cs="Arial"/>
          <w:sz w:val="20"/>
          <w:szCs w:val="20"/>
          <w:lang w:val="en-US"/>
        </w:rPr>
        <w:t>3</w:t>
      </w:r>
      <w:r w:rsidR="001E47AF" w:rsidRPr="000F50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E47AF" w:rsidRPr="000F5013">
        <w:rPr>
          <w:rFonts w:ascii="Arial" w:hAnsi="Arial" w:cs="Arial"/>
          <w:sz w:val="20"/>
          <w:szCs w:val="20"/>
          <w:lang w:val="en-US"/>
        </w:rPr>
        <w:t>μm</w:t>
      </w:r>
      <w:proofErr w:type="spellEnd"/>
      <w:r w:rsidR="001E47AF">
        <w:rPr>
          <w:rFonts w:ascii="Arial" w:hAnsi="Arial" w:cs="Arial"/>
          <w:sz w:val="20"/>
          <w:szCs w:val="20"/>
          <w:lang w:val="en-US"/>
        </w:rPr>
        <w:t>)</w:t>
      </w:r>
      <w:r w:rsidR="00222F6B" w:rsidRPr="000F5013">
        <w:rPr>
          <w:rFonts w:ascii="Arial" w:eastAsia="Times New Roman" w:hAnsi="Arial" w:cs="Arial"/>
          <w:sz w:val="20"/>
          <w:szCs w:val="20"/>
          <w:lang w:val="en-GB"/>
        </w:rPr>
        <w:t xml:space="preserve"> displayed increased SCEs per metaphase, </w:t>
      </w:r>
      <w:r w:rsidR="001E47AF">
        <w:rPr>
          <w:rFonts w:ascii="Arial" w:eastAsia="Times New Roman" w:hAnsi="Arial" w:cs="Arial"/>
          <w:sz w:val="20"/>
          <w:szCs w:val="20"/>
          <w:lang w:val="en-GB"/>
        </w:rPr>
        <w:t xml:space="preserve">as well as </w:t>
      </w:r>
      <w:r w:rsidR="00222F6B" w:rsidRPr="000F5013">
        <w:rPr>
          <w:rFonts w:ascii="Arial" w:eastAsia="Times New Roman" w:hAnsi="Arial" w:cs="Arial"/>
          <w:sz w:val="20"/>
          <w:szCs w:val="20"/>
          <w:lang w:val="en-GB"/>
        </w:rPr>
        <w:t xml:space="preserve">elevated </w:t>
      </w:r>
      <w:proofErr w:type="spellStart"/>
      <w:r w:rsidR="00222F6B" w:rsidRPr="000F5013">
        <w:rPr>
          <w:rFonts w:ascii="Arial" w:eastAsia="Times New Roman" w:hAnsi="Arial" w:cs="Arial"/>
          <w:sz w:val="20"/>
          <w:szCs w:val="20"/>
          <w:lang w:val="en-GB"/>
        </w:rPr>
        <w:t>cytostaticity</w:t>
      </w:r>
      <w:proofErr w:type="spellEnd"/>
      <w:r w:rsidR="00222F6B" w:rsidRPr="000F5013">
        <w:rPr>
          <w:rFonts w:ascii="Arial" w:eastAsia="Times New Roman" w:hAnsi="Arial" w:cs="Arial"/>
          <w:sz w:val="20"/>
          <w:szCs w:val="20"/>
          <w:lang w:val="en-GB"/>
        </w:rPr>
        <w:t xml:space="preserve"> and </w:t>
      </w:r>
      <w:proofErr w:type="spellStart"/>
      <w:r w:rsidR="00222F6B" w:rsidRPr="000F5013">
        <w:rPr>
          <w:rFonts w:ascii="Arial" w:eastAsia="Times New Roman" w:hAnsi="Arial" w:cs="Arial"/>
          <w:sz w:val="20"/>
          <w:szCs w:val="20"/>
          <w:lang w:val="en-GB"/>
        </w:rPr>
        <w:t>cytotoxicity</w:t>
      </w:r>
      <w:proofErr w:type="spellEnd"/>
      <w:r w:rsidR="00222F6B" w:rsidRPr="000F5013">
        <w:rPr>
          <w:rFonts w:ascii="Arial" w:eastAsia="Times New Roman" w:hAnsi="Arial" w:cs="Arial"/>
          <w:sz w:val="20"/>
          <w:szCs w:val="20"/>
          <w:lang w:val="en-GB"/>
        </w:rPr>
        <w:t xml:space="preserve"> effect</w:t>
      </w:r>
      <w:r w:rsidR="00EB7954">
        <w:rPr>
          <w:rFonts w:ascii="Arial" w:eastAsia="Times New Roman" w:hAnsi="Arial" w:cs="Arial"/>
          <w:sz w:val="20"/>
          <w:szCs w:val="20"/>
          <w:lang w:val="en-GB"/>
        </w:rPr>
        <w:t>s</w:t>
      </w:r>
      <w:r w:rsidR="00222F6B" w:rsidRPr="000F5013">
        <w:rPr>
          <w:rFonts w:ascii="Arial" w:eastAsia="Times New Roman" w:hAnsi="Arial" w:cs="Arial"/>
          <w:sz w:val="20"/>
          <w:szCs w:val="20"/>
          <w:lang w:val="en-GB"/>
        </w:rPr>
        <w:t>.</w:t>
      </w:r>
      <w:r w:rsidR="000F5013" w:rsidRPr="000F501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GB"/>
        </w:rPr>
        <w:t>M</w:t>
      </w:r>
      <w:r w:rsidRPr="000F5013">
        <w:rPr>
          <w:rFonts w:ascii="Arial" w:eastAsia="Times New Roman" w:hAnsi="Arial" w:cs="Arial"/>
          <w:sz w:val="20"/>
          <w:szCs w:val="20"/>
          <w:lang w:val="en-GB"/>
        </w:rPr>
        <w:t xml:space="preserve">utagenic to man were found to be </w:t>
      </w:r>
      <w:r>
        <w:rPr>
          <w:rFonts w:ascii="Arial" w:eastAsia="Times New Roman" w:hAnsi="Arial" w:cs="Arial"/>
          <w:sz w:val="20"/>
          <w:szCs w:val="20"/>
          <w:lang w:val="en-GB"/>
        </w:rPr>
        <w:t>particularly w</w:t>
      </w:r>
      <w:r w:rsidR="00EB7954">
        <w:rPr>
          <w:rFonts w:ascii="Arial" w:eastAsia="Times New Roman" w:hAnsi="Arial" w:cs="Arial"/>
          <w:sz w:val="20"/>
          <w:szCs w:val="20"/>
          <w:lang w:val="en-GB"/>
        </w:rPr>
        <w:t>intertime f</w:t>
      </w:r>
      <w:r w:rsidR="000F5013" w:rsidRPr="000F5013">
        <w:rPr>
          <w:rFonts w:ascii="Arial" w:eastAsia="Times New Roman" w:hAnsi="Arial" w:cs="Arial"/>
          <w:sz w:val="20"/>
          <w:szCs w:val="20"/>
          <w:lang w:val="en-GB"/>
        </w:rPr>
        <w:t xml:space="preserve">ine particles </w:t>
      </w:r>
      <w:r w:rsidR="00EB7954">
        <w:rPr>
          <w:rFonts w:ascii="Arial" w:eastAsia="Times New Roman" w:hAnsi="Arial" w:cs="Arial"/>
          <w:sz w:val="20"/>
          <w:szCs w:val="20"/>
          <w:lang w:val="en-GB"/>
        </w:rPr>
        <w:t>at</w:t>
      </w:r>
      <w:r w:rsidR="000F5013" w:rsidRPr="000F5013">
        <w:rPr>
          <w:rFonts w:ascii="Arial" w:eastAsia="Times New Roman" w:hAnsi="Arial" w:cs="Arial"/>
          <w:sz w:val="20"/>
          <w:szCs w:val="20"/>
          <w:lang w:val="en-GB"/>
        </w:rPr>
        <w:t xml:space="preserve"> the </w:t>
      </w:r>
      <w:r w:rsidR="00EB7954">
        <w:rPr>
          <w:rFonts w:ascii="Arial" w:eastAsia="Times New Roman" w:hAnsi="Arial" w:cs="Arial"/>
          <w:sz w:val="20"/>
          <w:szCs w:val="20"/>
          <w:lang w:val="en-GB"/>
        </w:rPr>
        <w:t xml:space="preserve">urban </w:t>
      </w:r>
      <w:r w:rsidR="000F5013" w:rsidRPr="000F5013">
        <w:rPr>
          <w:rFonts w:ascii="Arial" w:eastAsia="Times New Roman" w:hAnsi="Arial" w:cs="Arial"/>
          <w:sz w:val="20"/>
          <w:szCs w:val="20"/>
          <w:lang w:val="en-GB"/>
        </w:rPr>
        <w:t xml:space="preserve">background site </w:t>
      </w:r>
      <w:r w:rsidR="00EB7954">
        <w:rPr>
          <w:rFonts w:ascii="Arial" w:eastAsia="Times New Roman" w:hAnsi="Arial" w:cs="Arial"/>
          <w:sz w:val="20"/>
          <w:szCs w:val="20"/>
          <w:lang w:val="en-GB"/>
        </w:rPr>
        <w:t>implying contribution from residential wood burning</w:t>
      </w:r>
      <w:r w:rsidR="000F5013" w:rsidRPr="000F5013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:rsidR="00773013" w:rsidRPr="001E47AF" w:rsidRDefault="00473754" w:rsidP="002D4091">
      <w:pPr>
        <w:pStyle w:val="Default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473754">
        <w:rPr>
          <w:rFonts w:ascii="Arial" w:hAnsi="Arial" w:cs="Arial"/>
          <w:sz w:val="16"/>
          <w:szCs w:val="16"/>
          <w:u w:val="single"/>
          <w:lang w:val="en-GB"/>
        </w:rPr>
        <w:t>Acknowledgements:</w:t>
      </w:r>
      <w:r w:rsidRPr="00473754">
        <w:rPr>
          <w:rFonts w:ascii="Arial" w:hAnsi="Arial" w:cs="Arial"/>
          <w:sz w:val="16"/>
          <w:szCs w:val="16"/>
          <w:lang w:val="en-GB"/>
        </w:rPr>
        <w:t>This</w:t>
      </w:r>
      <w:proofErr w:type="spellEnd"/>
      <w:r w:rsidRPr="00473754">
        <w:rPr>
          <w:rFonts w:ascii="Arial" w:hAnsi="Arial" w:cs="Arial"/>
          <w:sz w:val="16"/>
          <w:szCs w:val="16"/>
          <w:lang w:val="en-GB"/>
        </w:rPr>
        <w:t xml:space="preserve"> research has been co-financed by the European Union (European Social Fund – ESF) and Greek national funds through the Operational Program "Education and Lifelong Learning" of the National Strategic Reference Framework (NSRF) - Research Funding Program: THALES. Project code/Title: MIS 377304/"Bioactivity of airborne particulates in relation with their size, morphology and chemical composition".</w:t>
      </w:r>
      <w:r w:rsidR="00773013" w:rsidRPr="001E47AF">
        <w:rPr>
          <w:rFonts w:ascii="Arial" w:hAnsi="Arial" w:cs="Arial"/>
          <w:sz w:val="20"/>
          <w:szCs w:val="20"/>
          <w:lang w:val="en-GB"/>
        </w:rPr>
        <w:tab/>
      </w:r>
    </w:p>
    <w:sectPr w:rsidR="00773013" w:rsidRPr="001E47AF" w:rsidSect="004B27A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3713a231+22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013B9"/>
    <w:rsid w:val="000E5616"/>
    <w:rsid w:val="000F2CA8"/>
    <w:rsid w:val="000F5013"/>
    <w:rsid w:val="001E47AF"/>
    <w:rsid w:val="00222F6B"/>
    <w:rsid w:val="002A4E1F"/>
    <w:rsid w:val="002A60D8"/>
    <w:rsid w:val="002D4091"/>
    <w:rsid w:val="002F744B"/>
    <w:rsid w:val="00322AE9"/>
    <w:rsid w:val="004532E3"/>
    <w:rsid w:val="004634C3"/>
    <w:rsid w:val="00473754"/>
    <w:rsid w:val="0048750B"/>
    <w:rsid w:val="004A0F76"/>
    <w:rsid w:val="004B27AD"/>
    <w:rsid w:val="00534355"/>
    <w:rsid w:val="00574EBC"/>
    <w:rsid w:val="006229A0"/>
    <w:rsid w:val="006C5C52"/>
    <w:rsid w:val="007078A1"/>
    <w:rsid w:val="00773013"/>
    <w:rsid w:val="007E4D62"/>
    <w:rsid w:val="00826E27"/>
    <w:rsid w:val="00934347"/>
    <w:rsid w:val="00980249"/>
    <w:rsid w:val="00B878FE"/>
    <w:rsid w:val="00BC6B7C"/>
    <w:rsid w:val="00C13569"/>
    <w:rsid w:val="00C619F9"/>
    <w:rsid w:val="00C819B5"/>
    <w:rsid w:val="00CC5FF7"/>
    <w:rsid w:val="00CE43D6"/>
    <w:rsid w:val="00DA3870"/>
    <w:rsid w:val="00E758C2"/>
    <w:rsid w:val="00E94B72"/>
    <w:rsid w:val="00EA2159"/>
    <w:rsid w:val="00EB7954"/>
    <w:rsid w:val="00F013B9"/>
    <w:rsid w:val="00F33E4D"/>
    <w:rsid w:val="00F34AD0"/>
    <w:rsid w:val="00F814E8"/>
    <w:rsid w:val="00F8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B5"/>
  </w:style>
  <w:style w:type="paragraph" w:styleId="Heading3">
    <w:name w:val="heading 3"/>
    <w:basedOn w:val="Normal"/>
    <w:link w:val="Heading3Char"/>
    <w:uiPriority w:val="9"/>
    <w:qFormat/>
    <w:rsid w:val="00F013B9"/>
    <w:pPr>
      <w:spacing w:before="100" w:beforeAutospacing="1" w:after="100" w:afterAutospacing="1" w:line="240" w:lineRule="auto"/>
      <w:ind w:firstLine="284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13B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apple-converted-space">
    <w:name w:val="apple-converted-space"/>
    <w:basedOn w:val="DefaultParagraphFont"/>
    <w:rsid w:val="00F013B9"/>
  </w:style>
  <w:style w:type="paragraph" w:customStyle="1" w:styleId="Default">
    <w:name w:val="Default"/>
    <w:uiPriority w:val="99"/>
    <w:rsid w:val="004737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773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2015-04-24T05:48:00Z</dcterms:created>
  <dcterms:modified xsi:type="dcterms:W3CDTF">2015-04-28T08:00:00Z</dcterms:modified>
</cp:coreProperties>
</file>