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B1BCF" w14:textId="77777777" w:rsidR="001F4812" w:rsidRPr="00397A1A" w:rsidRDefault="004876C5" w:rsidP="00DF6705">
      <w:pPr>
        <w:spacing w:after="120"/>
        <w:rPr>
          <w:rFonts w:ascii="Arial" w:hAnsi="Arial" w:cs="Arial"/>
          <w:b/>
          <w:sz w:val="32"/>
          <w:szCs w:val="32"/>
          <w:lang w:val="en-US"/>
        </w:rPr>
      </w:pPr>
      <w:r w:rsidRPr="00397A1A">
        <w:rPr>
          <w:rFonts w:ascii="Arial" w:hAnsi="Arial" w:cs="Arial"/>
          <w:b/>
          <w:sz w:val="28"/>
          <w:szCs w:val="28"/>
          <w:lang w:val="en-US"/>
        </w:rPr>
        <w:t xml:space="preserve">Compound Specific </w:t>
      </w:r>
      <w:r w:rsidR="00203F8F" w:rsidRPr="00397A1A">
        <w:rPr>
          <w:rFonts w:ascii="Arial" w:hAnsi="Arial" w:cs="Arial"/>
          <w:b/>
          <w:sz w:val="28"/>
          <w:szCs w:val="28"/>
          <w:lang w:val="en-US"/>
        </w:rPr>
        <w:t>Oxygen Stable Iso</w:t>
      </w:r>
      <w:r w:rsidR="00397A1A" w:rsidRPr="00397A1A">
        <w:rPr>
          <w:rFonts w:ascii="Arial" w:hAnsi="Arial" w:cs="Arial"/>
          <w:b/>
          <w:sz w:val="28"/>
          <w:szCs w:val="28"/>
          <w:lang w:val="en-US"/>
        </w:rPr>
        <w:t>tope Analysis via High Temperature</w:t>
      </w:r>
      <w:r w:rsidR="00203F8F" w:rsidRPr="00397A1A">
        <w:rPr>
          <w:rFonts w:ascii="Arial" w:hAnsi="Arial" w:cs="Arial"/>
          <w:b/>
          <w:sz w:val="28"/>
          <w:szCs w:val="28"/>
          <w:lang w:val="en-US"/>
        </w:rPr>
        <w:t xml:space="preserve"> Conversion (HTC): </w:t>
      </w:r>
      <w:r w:rsidR="001E4C79" w:rsidRPr="00397A1A">
        <w:rPr>
          <w:rFonts w:ascii="Arial" w:hAnsi="Arial" w:cs="Arial"/>
          <w:b/>
          <w:sz w:val="28"/>
          <w:szCs w:val="28"/>
          <w:lang w:val="en-US"/>
        </w:rPr>
        <w:t xml:space="preserve">Ideas and Assessment Strategies for GC-HTC-IRMS </w:t>
      </w:r>
    </w:p>
    <w:p w14:paraId="24669A8F" w14:textId="77777777" w:rsidR="00DF6705" w:rsidRPr="00397A1A" w:rsidRDefault="00203F8F" w:rsidP="00DF6705">
      <w:pPr>
        <w:spacing w:after="120"/>
        <w:rPr>
          <w:rFonts w:ascii="Arial" w:hAnsi="Arial" w:cs="Arial"/>
          <w:smallCaps/>
          <w:vertAlign w:val="superscript"/>
          <w:lang w:val="en-US"/>
        </w:rPr>
      </w:pPr>
      <w:r w:rsidRPr="00397A1A">
        <w:rPr>
          <w:rFonts w:ascii="Arial" w:hAnsi="Arial" w:cs="Arial"/>
          <w:smallCaps/>
          <w:u w:val="single"/>
          <w:lang w:val="en-US"/>
        </w:rPr>
        <w:t xml:space="preserve">Kristina L. </w:t>
      </w:r>
      <w:proofErr w:type="spellStart"/>
      <w:r w:rsidRPr="00397A1A">
        <w:rPr>
          <w:rFonts w:ascii="Arial" w:hAnsi="Arial" w:cs="Arial"/>
          <w:smallCaps/>
          <w:u w:val="single"/>
          <w:lang w:val="en-US"/>
        </w:rPr>
        <w:t>Hitzfeld</w:t>
      </w:r>
      <w:proofErr w:type="spellEnd"/>
      <w:r w:rsidRPr="00397A1A">
        <w:rPr>
          <w:rFonts w:ascii="Arial" w:hAnsi="Arial" w:cs="Arial"/>
          <w:smallCaps/>
          <w:lang w:val="en-US"/>
        </w:rPr>
        <w:t xml:space="preserve">, Hans H. </w:t>
      </w:r>
      <w:proofErr w:type="spellStart"/>
      <w:r w:rsidRPr="00397A1A">
        <w:rPr>
          <w:rFonts w:ascii="Arial" w:hAnsi="Arial" w:cs="Arial"/>
          <w:smallCaps/>
          <w:lang w:val="en-US"/>
        </w:rPr>
        <w:t>Richnow</w:t>
      </w:r>
      <w:proofErr w:type="spellEnd"/>
      <w:r w:rsidRPr="00397A1A">
        <w:rPr>
          <w:rFonts w:ascii="Arial" w:hAnsi="Arial" w:cs="Arial"/>
          <w:smallCaps/>
          <w:lang w:val="en-US"/>
        </w:rPr>
        <w:t xml:space="preserve">, Matthias </w:t>
      </w:r>
      <w:proofErr w:type="spellStart"/>
      <w:r w:rsidRPr="00397A1A">
        <w:rPr>
          <w:rFonts w:ascii="Arial" w:hAnsi="Arial" w:cs="Arial"/>
          <w:smallCaps/>
          <w:lang w:val="en-US"/>
        </w:rPr>
        <w:t>Gehre</w:t>
      </w:r>
      <w:proofErr w:type="spellEnd"/>
    </w:p>
    <w:p w14:paraId="0F4428EF" w14:textId="77777777" w:rsidR="00203F8F" w:rsidRPr="00397A1A" w:rsidRDefault="00203F8F" w:rsidP="00203F8F">
      <w:pPr>
        <w:rPr>
          <w:rFonts w:ascii="Arial" w:hAnsi="Arial" w:cs="Arial"/>
          <w:sz w:val="18"/>
          <w:szCs w:val="18"/>
          <w:lang w:val="en-US"/>
        </w:rPr>
      </w:pPr>
      <w:r w:rsidRPr="00397A1A">
        <w:rPr>
          <w:rFonts w:ascii="Arial" w:hAnsi="Arial" w:cs="Arial"/>
          <w:sz w:val="18"/>
          <w:szCs w:val="18"/>
          <w:lang w:val="en-US"/>
        </w:rPr>
        <w:t>Department for Isotope Biogeochemistry, Helmholtz-Centre for Environmental Research – UFZ</w:t>
      </w:r>
    </w:p>
    <w:p w14:paraId="44E30927" w14:textId="77777777" w:rsidR="00DF6705" w:rsidRPr="00397A1A" w:rsidRDefault="00203F8F" w:rsidP="00203F8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397A1A">
        <w:rPr>
          <w:rFonts w:ascii="Arial" w:hAnsi="Arial" w:cs="Arial"/>
          <w:sz w:val="18"/>
          <w:szCs w:val="18"/>
          <w:lang w:val="en-US"/>
        </w:rPr>
        <w:t>Permoserstr</w:t>
      </w:r>
      <w:proofErr w:type="spellEnd"/>
      <w:r w:rsidRPr="00397A1A">
        <w:rPr>
          <w:rFonts w:ascii="Arial" w:hAnsi="Arial" w:cs="Arial"/>
          <w:sz w:val="18"/>
          <w:szCs w:val="18"/>
          <w:lang w:val="en-US"/>
        </w:rPr>
        <w:t>. 15, D-04318 Leipzig, Kristina.Hitzfeld@ufz.de</w:t>
      </w:r>
    </w:p>
    <w:p w14:paraId="54E2FD13" w14:textId="77777777" w:rsidR="004B2CE5" w:rsidRPr="00397A1A" w:rsidRDefault="004B2CE5" w:rsidP="00C54F4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313AEED" w14:textId="77777777" w:rsidR="00E87FDA" w:rsidRPr="00397A1A" w:rsidRDefault="00206379" w:rsidP="0022075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97A1A">
        <w:rPr>
          <w:rFonts w:ascii="Arial" w:hAnsi="Arial" w:cs="Arial"/>
          <w:sz w:val="20"/>
          <w:szCs w:val="20"/>
          <w:lang w:val="en-US"/>
        </w:rPr>
        <w:t xml:space="preserve">Despite the fact that commercial reactors for oxygen stable isotope analysis via gas chromatography high temperature conversion isotope ratio mass spectrometry (GC-HTC-IRMS) have long been available, analytical applications are rare. In contrast a diverse and common use of the elemental </w:t>
      </w:r>
      <w:proofErr w:type="spellStart"/>
      <w:r w:rsidRPr="00397A1A">
        <w:rPr>
          <w:rFonts w:ascii="Arial" w:hAnsi="Arial" w:cs="Arial"/>
          <w:sz w:val="20"/>
          <w:szCs w:val="20"/>
          <w:lang w:val="en-US"/>
        </w:rPr>
        <w:t>analyser</w:t>
      </w:r>
      <w:proofErr w:type="spellEnd"/>
      <w:r w:rsidRPr="00397A1A">
        <w:rPr>
          <w:rFonts w:ascii="Arial" w:hAnsi="Arial" w:cs="Arial"/>
          <w:sz w:val="20"/>
          <w:szCs w:val="20"/>
          <w:lang w:val="en-US"/>
        </w:rPr>
        <w:t xml:space="preserve"> (EA) technique</w:t>
      </w:r>
      <w:r w:rsidR="00DE38D6" w:rsidRPr="00397A1A">
        <w:rPr>
          <w:rFonts w:ascii="Arial" w:hAnsi="Arial" w:cs="Arial"/>
          <w:sz w:val="20"/>
          <w:szCs w:val="20"/>
          <w:lang w:val="en-US"/>
        </w:rPr>
        <w:fldChar w:fldCharType="begin"/>
      </w:r>
      <w:r w:rsidR="00DE38D6" w:rsidRPr="00397A1A">
        <w:rPr>
          <w:rFonts w:ascii="Arial" w:hAnsi="Arial" w:cs="Arial"/>
          <w:sz w:val="20"/>
          <w:szCs w:val="20"/>
          <w:lang w:val="en-US"/>
        </w:rPr>
        <w:instrText xml:space="preserve"> ADDIN EN.CITE &lt;EndNote&gt;&lt;Cite&gt;&lt;Author&gt;Kornexl&lt;/Author&gt;&lt;Year&gt;1999&lt;/Year&gt;&lt;RecNum&gt;291&lt;/RecNum&gt;&lt;DisplayText&gt;&lt;style face="superscript"&gt;1&lt;/style&gt;&lt;/DisplayText&gt;&lt;record&gt;&lt;rec-number&gt;291&lt;/rec-number&gt;&lt;foreign-keys&gt;&lt;key app="EN" db-id="r00fvat9mdsedre29v3xw9eq0tv0dtrt2azw" timestamp="1292926532"&gt;291&lt;/key&gt;&lt;/foreign-keys&gt;&lt;ref-type name="Journal Article"&gt;17&lt;/ref-type&gt;&lt;contributors&gt;&lt;authors&gt;&lt;author&gt;Kornexl, B. E.&lt;/author&gt;&lt;author&gt;Gehre, M.&lt;/author&gt;&lt;author&gt;Hofling, R.&lt;/author&gt;&lt;author&gt;Werner, R. A.&lt;/author&gt;&lt;/authors&gt;&lt;/contributors&gt;&lt;auth-address&gt;UFZ Leipzig Halle GMBH, UFZ Ctr Environm Res, D-04318 Leipzig, Germany. Tech Univ Munich, Lehrstuhl Allgemeine Chem &amp;amp; Biochem, D-85350 Freising Weihenstephan, Germany.&amp;#xD;Kornexl, BE, UFZ Leipzig Halle GMBH, UFZ Ctr Environm Res, Permoserstr 15, D-04318 Leipzig, Germany.&amp;#xD;kornexl@ana.ufz.de&lt;/auth-address&gt;&lt;titles&gt;&lt;title&gt;On-line delta O-18 measurement of organic and inorganic substances&lt;/title&gt;&lt;secondary-title&gt;Rapid Communications in Mass Spectrometry&lt;/secondary-title&gt;&lt;alt-title&gt;Rapid Commun. Mass Spectrom.&lt;/alt-title&gt;&lt;/titles&gt;&lt;periodical&gt;&lt;full-title&gt;Rapid Communications in Mass Spectrometry&lt;/full-title&gt;&lt;abbr-1&gt;Rapid Commun. Mass Spectrom.&lt;/abbr-1&gt;&lt;/periodical&gt;&lt;alt-periodical&gt;&lt;full-title&gt;Rapid Communications in Mass Spectrometry&lt;/full-title&gt;&lt;abbr-1&gt;Rapid Commun. Mass Spectrom.&lt;/abbr-1&gt;&lt;/alt-periodical&gt;&lt;pages&gt;1685-1693&lt;/pages&gt;&lt;volume&gt;13&lt;/volume&gt;&lt;number&gt;16&lt;/number&gt;&lt;keywords&gt;&lt;keyword&gt;ISOTOPE COMPOSITION&lt;/keyword&gt;&lt;keyword&gt;ONLINE DETERMINATION&lt;/keyword&gt;&lt;keyword&gt;OXYGEN&lt;/keyword&gt;&lt;keyword&gt;NITRATE&lt;/keyword&gt;&lt;keyword&gt;OXIDATION&lt;/keyword&gt;&lt;keyword&gt;WATER&lt;/keyword&gt;&lt;keyword&gt;O-18&lt;/keyword&gt;&lt;keyword&gt;BACTERIAL&lt;/keyword&gt;&lt;keyword&gt;NITROGEN&lt;/keyword&gt;&lt;keyword&gt;MATTER&lt;/keyword&gt;&lt;/keywords&gt;&lt;dates&gt;&lt;year&gt;1999&lt;/year&gt;&lt;/dates&gt;&lt;isbn&gt;0951-4198&lt;/isbn&gt;&lt;accession-num&gt;ISI:000082078100007&lt;/accession-num&gt;&lt;work-type&gt;Article&lt;/work-type&gt;&lt;urls&gt;&lt;related-urls&gt;&lt;url&gt;&amp;lt;Go to ISI&amp;gt;://000082078100007&lt;/url&gt;&lt;/related-urls&gt;&lt;/urls&gt;&lt;language&gt;English&lt;/language&gt;&lt;/record&gt;&lt;/Cite&gt;&lt;/EndNote&gt;</w:instrText>
      </w:r>
      <w:r w:rsidR="00DE38D6" w:rsidRPr="00397A1A">
        <w:rPr>
          <w:rFonts w:ascii="Arial" w:hAnsi="Arial" w:cs="Arial"/>
          <w:sz w:val="20"/>
          <w:szCs w:val="20"/>
          <w:lang w:val="en-US"/>
        </w:rPr>
        <w:fldChar w:fldCharType="separate"/>
      </w:r>
      <w:r w:rsidR="00DE38D6" w:rsidRPr="00397A1A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DE38D6" w:rsidRPr="00397A1A">
        <w:rPr>
          <w:rFonts w:ascii="Arial" w:hAnsi="Arial" w:cs="Arial"/>
          <w:sz w:val="20"/>
          <w:szCs w:val="20"/>
          <w:lang w:val="en-US"/>
        </w:rPr>
        <w:fldChar w:fldCharType="end"/>
      </w:r>
      <w:r w:rsidRPr="00397A1A">
        <w:rPr>
          <w:rFonts w:ascii="Arial" w:hAnsi="Arial" w:cs="Arial"/>
          <w:sz w:val="20"/>
          <w:szCs w:val="20"/>
          <w:lang w:val="en-US"/>
        </w:rPr>
        <w:t xml:space="preserve"> for oxygen stable </w:t>
      </w:r>
      <w:r w:rsidRPr="00397A1A">
        <w:rPr>
          <w:rFonts w:ascii="Arial" w:hAnsi="Arial" w:cs="Arial"/>
          <w:sz w:val="20"/>
          <w:szCs w:val="20"/>
          <w:lang w:val="en-GB"/>
        </w:rPr>
        <w:t>isot</w:t>
      </w:r>
      <w:r w:rsidR="00397A1A" w:rsidRPr="00397A1A">
        <w:rPr>
          <w:rFonts w:ascii="Arial" w:hAnsi="Arial" w:cs="Arial"/>
          <w:sz w:val="20"/>
          <w:szCs w:val="20"/>
          <w:lang w:val="en-GB"/>
        </w:rPr>
        <w:t>o</w:t>
      </w:r>
      <w:r w:rsidRPr="00397A1A">
        <w:rPr>
          <w:rFonts w:ascii="Arial" w:hAnsi="Arial" w:cs="Arial"/>
          <w:sz w:val="20"/>
          <w:szCs w:val="20"/>
          <w:lang w:val="en-GB"/>
        </w:rPr>
        <w:t>pe</w:t>
      </w:r>
      <w:r w:rsidRPr="00397A1A">
        <w:rPr>
          <w:rFonts w:ascii="Arial" w:hAnsi="Arial" w:cs="Arial"/>
          <w:sz w:val="20"/>
          <w:szCs w:val="20"/>
          <w:lang w:val="en-US"/>
        </w:rPr>
        <w:t xml:space="preserve"> ratio determination</w:t>
      </w:r>
      <w:r w:rsidR="00800C93" w:rsidRPr="00397A1A">
        <w:rPr>
          <w:rFonts w:ascii="Arial" w:hAnsi="Arial" w:cs="Arial"/>
          <w:sz w:val="20"/>
          <w:szCs w:val="20"/>
          <w:lang w:val="en-US"/>
        </w:rPr>
        <w:t xml:space="preserve"> of pure compounds, </w:t>
      </w:r>
      <w:r w:rsidR="006B61AD" w:rsidRPr="00397A1A">
        <w:rPr>
          <w:rFonts w:ascii="Arial" w:hAnsi="Arial" w:cs="Arial"/>
          <w:sz w:val="20"/>
          <w:szCs w:val="20"/>
          <w:lang w:val="en-US"/>
        </w:rPr>
        <w:t>bulk samples</w:t>
      </w:r>
      <w:r w:rsidR="00800C93" w:rsidRPr="00397A1A">
        <w:rPr>
          <w:rFonts w:ascii="Arial" w:hAnsi="Arial" w:cs="Arial"/>
          <w:sz w:val="20"/>
          <w:szCs w:val="20"/>
          <w:lang w:val="en-US"/>
        </w:rPr>
        <w:t>,</w:t>
      </w:r>
      <w:r w:rsidR="00DE38D6" w:rsidRPr="00397A1A">
        <w:rPr>
          <w:rFonts w:ascii="Arial" w:hAnsi="Arial" w:cs="Arial"/>
          <w:sz w:val="20"/>
          <w:szCs w:val="20"/>
          <w:lang w:val="en-US"/>
        </w:rPr>
        <w:t xml:space="preserve"> and references</w:t>
      </w:r>
      <w:r w:rsidRPr="00397A1A">
        <w:rPr>
          <w:rFonts w:ascii="Arial" w:hAnsi="Arial" w:cs="Arial"/>
          <w:sz w:val="20"/>
          <w:szCs w:val="20"/>
          <w:lang w:val="en-US"/>
        </w:rPr>
        <w:t xml:space="preserve"> in routine analysis and research applications can be found in literature. Based on this discrepancy</w:t>
      </w:r>
      <w:r w:rsidR="006B61AD" w:rsidRPr="00397A1A">
        <w:rPr>
          <w:rFonts w:ascii="Arial" w:hAnsi="Arial" w:cs="Arial"/>
          <w:sz w:val="20"/>
          <w:szCs w:val="20"/>
          <w:lang w:val="en-US"/>
        </w:rPr>
        <w:t xml:space="preserve"> </w:t>
      </w:r>
      <w:r w:rsidR="00C913F4" w:rsidRPr="00397A1A">
        <w:rPr>
          <w:rFonts w:ascii="Arial" w:hAnsi="Arial" w:cs="Arial"/>
          <w:sz w:val="20"/>
          <w:szCs w:val="20"/>
          <w:lang w:val="en-US"/>
        </w:rPr>
        <w:t xml:space="preserve">and experiences with EA reactors, </w:t>
      </w:r>
      <w:r w:rsidR="006B61AD" w:rsidRPr="00397A1A">
        <w:rPr>
          <w:rFonts w:ascii="Arial" w:hAnsi="Arial" w:cs="Arial"/>
          <w:sz w:val="20"/>
          <w:szCs w:val="20"/>
          <w:lang w:val="en-US"/>
        </w:rPr>
        <w:t xml:space="preserve">different reactor types and conversion approaches for online </w:t>
      </w:r>
      <w:r w:rsidR="00800C93" w:rsidRPr="00397A1A">
        <w:rPr>
          <w:rFonts w:ascii="Arial" w:hAnsi="Arial" w:cs="Arial"/>
          <w:sz w:val="20"/>
          <w:szCs w:val="20"/>
          <w:lang w:val="en-US"/>
        </w:rPr>
        <w:t xml:space="preserve">GC-HTC-IRMS </w:t>
      </w:r>
      <w:r w:rsidR="006B61AD" w:rsidRPr="00397A1A">
        <w:rPr>
          <w:rFonts w:ascii="Arial" w:hAnsi="Arial" w:cs="Arial"/>
          <w:sz w:val="20"/>
          <w:szCs w:val="20"/>
          <w:lang w:val="en-US"/>
        </w:rPr>
        <w:t>oxygen analysis were evaluated</w:t>
      </w:r>
      <w:r w:rsidR="00DE38D6" w:rsidRPr="00397A1A">
        <w:rPr>
          <w:rFonts w:ascii="Arial" w:hAnsi="Arial" w:cs="Arial"/>
          <w:sz w:val="20"/>
          <w:szCs w:val="20"/>
          <w:lang w:val="en-US"/>
        </w:rPr>
        <w:t>.</w:t>
      </w:r>
      <w:r w:rsidR="006B61AD" w:rsidRPr="00397A1A">
        <w:rPr>
          <w:rFonts w:ascii="Arial" w:hAnsi="Arial" w:cs="Arial"/>
          <w:sz w:val="20"/>
          <w:szCs w:val="20"/>
          <w:lang w:val="en-US"/>
        </w:rPr>
        <w:t xml:space="preserve"> </w:t>
      </w:r>
      <w:r w:rsidR="00DE38D6" w:rsidRPr="00397A1A">
        <w:rPr>
          <w:rFonts w:ascii="Arial" w:hAnsi="Arial" w:cs="Arial"/>
          <w:sz w:val="20"/>
          <w:szCs w:val="20"/>
          <w:lang w:val="en-US"/>
        </w:rPr>
        <w:t xml:space="preserve">Commercial available and custom build tube-in-tube reactors were investigated for their performance in compound specific isotope </w:t>
      </w:r>
      <w:proofErr w:type="spellStart"/>
      <w:r w:rsidR="00DE38D6" w:rsidRPr="00397A1A">
        <w:rPr>
          <w:rFonts w:ascii="Arial" w:hAnsi="Arial" w:cs="Arial"/>
          <w:sz w:val="20"/>
          <w:szCs w:val="20"/>
          <w:lang w:val="en-US"/>
        </w:rPr>
        <w:t>analyis</w:t>
      </w:r>
      <w:proofErr w:type="spellEnd"/>
      <w:r w:rsidR="00DE38D6" w:rsidRPr="00397A1A">
        <w:rPr>
          <w:rFonts w:ascii="Arial" w:hAnsi="Arial" w:cs="Arial"/>
          <w:sz w:val="20"/>
          <w:szCs w:val="20"/>
          <w:lang w:val="en-US"/>
        </w:rPr>
        <w:t xml:space="preserve"> (CSIA) of oxygen in </w:t>
      </w:r>
      <w:r w:rsidR="00397A1A">
        <w:rPr>
          <w:rFonts w:ascii="Arial" w:hAnsi="Arial" w:cs="Arial"/>
          <w:sz w:val="20"/>
          <w:szCs w:val="20"/>
          <w:lang w:val="en-US"/>
        </w:rPr>
        <w:t>organic compounds like vanillin</w:t>
      </w:r>
      <w:r w:rsidR="00DE38D6" w:rsidRPr="00397A1A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DE38D6" w:rsidRPr="00397A1A">
        <w:rPr>
          <w:rFonts w:ascii="Arial" w:hAnsi="Arial" w:cs="Arial"/>
          <w:sz w:val="20"/>
          <w:szCs w:val="20"/>
          <w:lang w:val="en-US"/>
        </w:rPr>
        <w:t>metyl</w:t>
      </w:r>
      <w:proofErr w:type="spellEnd"/>
      <w:r w:rsidR="00DE38D6" w:rsidRPr="00397A1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E38D6" w:rsidRPr="00397A1A">
        <w:rPr>
          <w:rFonts w:ascii="Arial" w:hAnsi="Arial" w:cs="Arial"/>
          <w:i/>
          <w:sz w:val="20"/>
          <w:szCs w:val="20"/>
          <w:lang w:val="en-US"/>
        </w:rPr>
        <w:t>tert</w:t>
      </w:r>
      <w:proofErr w:type="spellEnd"/>
      <w:r w:rsidR="00DE38D6" w:rsidRPr="00397A1A">
        <w:rPr>
          <w:rFonts w:ascii="Arial" w:hAnsi="Arial" w:cs="Arial"/>
          <w:sz w:val="20"/>
          <w:szCs w:val="20"/>
          <w:lang w:val="en-US"/>
        </w:rPr>
        <w:t xml:space="preserve">-butyl ether. </w:t>
      </w:r>
      <w:r w:rsidR="00E87FDA" w:rsidRPr="00397A1A">
        <w:rPr>
          <w:rFonts w:ascii="Arial" w:hAnsi="Arial" w:cs="Arial"/>
          <w:sz w:val="20"/>
          <w:szCs w:val="20"/>
          <w:lang w:val="en-US"/>
        </w:rPr>
        <w:t xml:space="preserve">It could be shown that physical and chemical properties of a given reactor design have significant impacts on its ability to </w:t>
      </w:r>
      <w:r w:rsidR="00800C93" w:rsidRPr="00397A1A">
        <w:rPr>
          <w:rFonts w:ascii="Arial" w:hAnsi="Arial" w:cs="Arial"/>
          <w:sz w:val="20"/>
          <w:szCs w:val="20"/>
          <w:lang w:val="en-US"/>
        </w:rPr>
        <w:t>convert oxygen bearing compounds into carbon monoxide for IRMS analysis.</w:t>
      </w:r>
      <w:r w:rsidR="00E87FDA" w:rsidRPr="00397A1A">
        <w:rPr>
          <w:rFonts w:ascii="Arial" w:hAnsi="Arial" w:cs="Arial"/>
          <w:sz w:val="20"/>
          <w:szCs w:val="20"/>
          <w:lang w:val="en-US"/>
        </w:rPr>
        <w:t xml:space="preserve"> By means of a recently established GC-HTC-Ion Trap analysis method</w:t>
      </w:r>
      <w:r w:rsidR="00E87FDA" w:rsidRPr="00397A1A">
        <w:rPr>
          <w:rFonts w:ascii="Arial" w:hAnsi="Arial" w:cs="Arial"/>
          <w:sz w:val="20"/>
          <w:szCs w:val="20"/>
          <w:lang w:val="en-US"/>
        </w:rPr>
        <w:fldChar w:fldCharType="begin"/>
      </w:r>
      <w:r w:rsidR="00DE38D6" w:rsidRPr="00397A1A">
        <w:rPr>
          <w:rFonts w:ascii="Arial" w:hAnsi="Arial" w:cs="Arial"/>
          <w:sz w:val="20"/>
          <w:szCs w:val="20"/>
          <w:lang w:val="en-US"/>
        </w:rPr>
        <w:instrText xml:space="preserve"> ADDIN EN.CITE &lt;EndNote&gt;&lt;Cite&gt;&lt;Author&gt;Renpenning&lt;/Author&gt;&lt;Year&gt;2015&lt;/Year&gt;&lt;RecNum&gt;549&lt;/RecNum&gt;&lt;DisplayText&gt;&lt;style face="superscript"&gt;2&lt;/style&gt;&lt;/DisplayText&gt;&lt;record&gt;&lt;rec-number&gt;549&lt;/rec-number&gt;&lt;foreign-keys&gt;&lt;key app="EN" db-id="r00fvat9mdsedre29v3xw9eq0tv0dtrt2azw" timestamp="1429019908"&gt;549&lt;/key&gt;&lt;/foreign-keys&gt;&lt;ref-type name="Journal Article"&gt;17&lt;/ref-type&gt;&lt;contributors&gt;&lt;authors&gt;&lt;author&gt;Renpenning, J.&lt;/author&gt;&lt;author&gt;Hitzfeld, K. L.&lt;/author&gt;&lt;author&gt;Gilevska, T.&lt;/author&gt;&lt;author&gt;Nijenhuis, I.&lt;/author&gt;&lt;author&gt;Gehre, M.&lt;/author&gt;&lt;author&gt;Richnow, H. H.&lt;/author&gt;&lt;/authors&gt;&lt;/contributors&gt;&lt;auth-address&gt;Gehre, M&amp;#xD;UFZ Helmholtz Ctr Environm Res, Dept Isotope Biogeochem, Permoserstr 15, D-04318 Leipzig, Germany&amp;#xD;UFZ Helmholtz Ctr Environm Res, Dept Isotope Biogeochem, Permoserstr 15, D-04318 Leipzig, Germany&amp;#xD;UFZ Helmholtz Ctr Environm Res, Dept Isotope Biogeochem, D-04318 Leipzig, Germany&lt;/auth-address&gt;&lt;titles&gt;&lt;title&gt;Development and Validation of an Universal Interface for Compound-Specific Stable Isotope Analysis of Chlorine (Cl-37/Cl-35) by GC-High-Temperature Conversion (HTC)-MS/IRMS&lt;/title&gt;&lt;secondary-title&gt;Analytical Chemistry&lt;/secondary-title&gt;&lt;alt-title&gt;Anal Chem&lt;/alt-title&gt;&lt;/titles&gt;&lt;periodical&gt;&lt;full-title&gt;Analytical Chemistry&lt;/full-title&gt;&lt;abbr-1&gt;Anal. Chem.&lt;/abbr-1&gt;&lt;/periodical&gt;&lt;pages&gt;2832-2839&lt;/pages&gt;&lt;volume&gt;87&lt;/volume&gt;&lt;number&gt;5&lt;/number&gt;&lt;keywords&gt;&lt;keyword&gt;ratio mass-spectrometry&lt;/keyword&gt;&lt;keyword&gt;hydrogen&lt;/keyword&gt;&lt;keyword&gt;bromine&lt;/keyword&gt;&lt;keyword&gt;methane&lt;/keyword&gt;&lt;keyword&gt;carbon&lt;/keyword&gt;&lt;keyword&gt;pyrolysis&lt;/keyword&gt;&lt;keyword&gt;seawater&lt;/keyword&gt;&lt;keyword&gt;samples&lt;/keyword&gt;&lt;keyword&gt;sulfur&lt;/keyword&gt;&lt;keyword&gt;icpms&lt;/keyword&gt;&lt;/keywords&gt;&lt;dates&gt;&lt;year&gt;2015&lt;/year&gt;&lt;pub-dates&gt;&lt;date&gt;Mar 3&lt;/date&gt;&lt;/pub-dates&gt;&lt;/dates&gt;&lt;isbn&gt;0003-2700&lt;/isbn&gt;&lt;accession-num&gt;WOS:000350611700046&lt;/accession-num&gt;&lt;urls&gt;&lt;related-urls&gt;&lt;url&gt;&amp;lt;Go to ISI&amp;gt;://WOS:000350611700046&lt;/url&gt;&lt;/related-urls&gt;&lt;/urls&gt;&lt;electronic-resource-num&gt;Doi 10.1021/Ac504232u&lt;/electronic-resource-num&gt;&lt;language&gt;English&lt;/language&gt;&lt;/record&gt;&lt;/Cite&gt;&lt;/EndNote&gt;</w:instrText>
      </w:r>
      <w:r w:rsidR="00E87FDA" w:rsidRPr="00397A1A">
        <w:rPr>
          <w:rFonts w:ascii="Arial" w:hAnsi="Arial" w:cs="Arial"/>
          <w:sz w:val="20"/>
          <w:szCs w:val="20"/>
          <w:lang w:val="en-US"/>
        </w:rPr>
        <w:fldChar w:fldCharType="separate"/>
      </w:r>
      <w:r w:rsidR="00DE38D6" w:rsidRPr="00397A1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E87FDA" w:rsidRPr="00397A1A">
        <w:rPr>
          <w:rFonts w:ascii="Arial" w:hAnsi="Arial" w:cs="Arial"/>
          <w:sz w:val="20"/>
          <w:szCs w:val="20"/>
          <w:lang w:val="en-US"/>
        </w:rPr>
        <w:fldChar w:fldCharType="end"/>
      </w:r>
      <w:r w:rsidR="00E87FDA" w:rsidRPr="00397A1A">
        <w:rPr>
          <w:rFonts w:ascii="Arial" w:hAnsi="Arial" w:cs="Arial"/>
          <w:sz w:val="20"/>
          <w:szCs w:val="20"/>
          <w:lang w:val="en-US"/>
        </w:rPr>
        <w:t xml:space="preserve">, </w:t>
      </w:r>
      <w:r w:rsidR="004876C5" w:rsidRPr="00397A1A">
        <w:rPr>
          <w:rFonts w:ascii="Arial" w:hAnsi="Arial" w:cs="Arial"/>
          <w:sz w:val="20"/>
          <w:szCs w:val="20"/>
          <w:lang w:val="en-US"/>
        </w:rPr>
        <w:t>the emergence of interfering by</w:t>
      </w:r>
      <w:r w:rsidR="00E87FDA" w:rsidRPr="00397A1A">
        <w:rPr>
          <w:rFonts w:ascii="Arial" w:hAnsi="Arial" w:cs="Arial"/>
          <w:sz w:val="20"/>
          <w:szCs w:val="20"/>
          <w:lang w:val="en-US"/>
        </w:rPr>
        <w:t>products could be proven</w:t>
      </w:r>
      <w:r w:rsidR="003B543A">
        <w:rPr>
          <w:rFonts w:ascii="Arial" w:hAnsi="Arial" w:cs="Arial"/>
          <w:sz w:val="20"/>
          <w:szCs w:val="20"/>
          <w:lang w:val="en-US"/>
        </w:rPr>
        <w:t>:</w:t>
      </w:r>
      <w:r w:rsidR="00E87FDA" w:rsidRPr="00397A1A">
        <w:rPr>
          <w:rFonts w:ascii="Arial" w:hAnsi="Arial" w:cs="Arial"/>
          <w:sz w:val="20"/>
          <w:szCs w:val="20"/>
          <w:lang w:val="en-US"/>
        </w:rPr>
        <w:t xml:space="preserve"> </w:t>
      </w:r>
      <w:r w:rsidR="0063046C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63046C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63046C">
        <w:rPr>
          <w:rFonts w:ascii="Arial" w:hAnsi="Arial" w:cs="Arial"/>
          <w:sz w:val="20"/>
          <w:szCs w:val="20"/>
          <w:lang w:val="en-US"/>
        </w:rPr>
        <w:t xml:space="preserve">) </w:t>
      </w:r>
      <w:r w:rsidR="00951132">
        <w:rPr>
          <w:rFonts w:ascii="Arial" w:hAnsi="Arial" w:cs="Arial"/>
          <w:sz w:val="20"/>
          <w:szCs w:val="20"/>
          <w:lang w:val="en-US"/>
        </w:rPr>
        <w:t xml:space="preserve">sample oxygen can be partially </w:t>
      </w:r>
      <w:r w:rsidR="00603021">
        <w:rPr>
          <w:rFonts w:ascii="Arial" w:hAnsi="Arial" w:cs="Arial"/>
          <w:sz w:val="20"/>
          <w:szCs w:val="20"/>
          <w:lang w:val="en-US"/>
        </w:rPr>
        <w:t xml:space="preserve">split </w:t>
      </w:r>
      <w:r w:rsidR="00951132">
        <w:rPr>
          <w:rFonts w:ascii="Arial" w:hAnsi="Arial" w:cs="Arial"/>
          <w:sz w:val="20"/>
          <w:szCs w:val="20"/>
          <w:lang w:val="en-US"/>
        </w:rPr>
        <w:t xml:space="preserve">and carbon dioxide is formed which should not be overseen if the fraction is &gt;2% with respect to the desired carbon monoxide. </w:t>
      </w:r>
      <w:r w:rsidR="0063046C">
        <w:rPr>
          <w:rFonts w:ascii="Arial" w:hAnsi="Arial" w:cs="Arial"/>
          <w:sz w:val="20"/>
          <w:szCs w:val="20"/>
          <w:lang w:val="en-US"/>
        </w:rPr>
        <w:t xml:space="preserve">(ii) </w:t>
      </w:r>
      <w:r w:rsidR="00951132">
        <w:rPr>
          <w:rFonts w:ascii="Arial" w:hAnsi="Arial" w:cs="Arial"/>
          <w:sz w:val="20"/>
          <w:szCs w:val="20"/>
          <w:lang w:val="en-US"/>
        </w:rPr>
        <w:t>C</w:t>
      </w:r>
      <w:r w:rsidR="00951132" w:rsidRPr="00951132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951132">
        <w:rPr>
          <w:rFonts w:ascii="Arial" w:hAnsi="Arial" w:cs="Arial"/>
          <w:sz w:val="20"/>
          <w:szCs w:val="20"/>
          <w:lang w:val="en-US"/>
        </w:rPr>
        <w:t>H</w:t>
      </w:r>
      <w:r w:rsidR="00951132" w:rsidRPr="00951132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 w:rsidR="00951132">
        <w:rPr>
          <w:rFonts w:ascii="Arial" w:hAnsi="Arial" w:cs="Arial"/>
          <w:sz w:val="20"/>
          <w:szCs w:val="20"/>
          <w:lang w:val="en-US"/>
        </w:rPr>
        <w:t xml:space="preserve"> byproducts</w:t>
      </w:r>
      <w:r w:rsidR="00951132" w:rsidRPr="00397A1A">
        <w:rPr>
          <w:rFonts w:ascii="Arial" w:hAnsi="Arial" w:cs="Arial"/>
          <w:sz w:val="20"/>
          <w:szCs w:val="20"/>
          <w:lang w:val="en-US"/>
        </w:rPr>
        <w:fldChar w:fldCharType="begin"/>
      </w:r>
      <w:r w:rsidR="00951132" w:rsidRPr="00397A1A">
        <w:rPr>
          <w:rFonts w:ascii="Arial" w:hAnsi="Arial" w:cs="Arial"/>
          <w:sz w:val="20"/>
          <w:szCs w:val="20"/>
          <w:lang w:val="en-US"/>
        </w:rPr>
        <w:instrText xml:space="preserve"> ADDIN EN.CITE &lt;EndNote&gt;&lt;Cite&gt;&lt;Author&gt;Renpenning&lt;/Author&gt;&lt;Year&gt;2015&lt;/Year&gt;&lt;RecNum&gt;549&lt;/RecNum&gt;&lt;DisplayText&gt;&lt;style face="superscript"&gt;2&lt;/style&gt;&lt;/DisplayText&gt;&lt;record&gt;&lt;rec-number&gt;549&lt;/rec-number&gt;&lt;foreign-keys&gt;&lt;key app="EN" db-id="r00fvat9mdsedre29v3xw9eq0tv0dtrt2azw" timestamp="1429019908"&gt;549&lt;/key&gt;&lt;/foreign-keys&gt;&lt;ref-type name="Journal Article"&gt;17&lt;/ref-type&gt;&lt;contributors&gt;&lt;authors&gt;&lt;author&gt;Renpenning, J.&lt;/author&gt;&lt;author&gt;Hitzfeld, K. L.&lt;/author&gt;&lt;author&gt;Gilevska, T.&lt;/author&gt;&lt;author&gt;Nijenhuis, I.&lt;/author&gt;&lt;author&gt;Gehre, M.&lt;/author&gt;&lt;author&gt;Richnow, H. H.&lt;/author&gt;&lt;/authors&gt;&lt;/contributors&gt;&lt;auth-address&gt;Gehre, M&amp;#xD;UFZ Helmholtz Ctr Environm Res, Dept Isotope Biogeochem, Permoserstr 15, D-04318 Leipzig, Germany&amp;#xD;UFZ Helmholtz Ctr Environm Res, Dept Isotope Biogeochem, Permoserstr 15, D-04318 Leipzig, Germany&amp;#xD;UFZ Helmholtz Ctr Environm Res, Dept Isotope Biogeochem, D-04318 Leipzig, Germany&lt;/auth-address&gt;&lt;titles&gt;&lt;title&gt;Development and Validation of an Universal Interface for Compound-Specific Stable Isotope Analysis of Chlorine (Cl-37/Cl-35) by GC-High-Temperature Conversion (HTC)-MS/IRMS&lt;/title&gt;&lt;secondary-title&gt;Analytical Chemistry&lt;/secondary-title&gt;&lt;alt-title&gt;Anal Chem&lt;/alt-title&gt;&lt;/titles&gt;&lt;periodical&gt;&lt;full-title&gt;Analytical Chemistry&lt;/full-title&gt;&lt;abbr-1&gt;Anal. Chem.&lt;/abbr-1&gt;&lt;/periodical&gt;&lt;pages&gt;2832-2839&lt;/pages&gt;&lt;volume&gt;87&lt;/volume&gt;&lt;number&gt;5&lt;/number&gt;&lt;keywords&gt;&lt;keyword&gt;ratio mass-spectrometry&lt;/keyword&gt;&lt;keyword&gt;hydrogen&lt;/keyword&gt;&lt;keyword&gt;bromine&lt;/keyword&gt;&lt;keyword&gt;methane&lt;/keyword&gt;&lt;keyword&gt;carbon&lt;/keyword&gt;&lt;keyword&gt;pyrolysis&lt;/keyword&gt;&lt;keyword&gt;seawater&lt;/keyword&gt;&lt;keyword&gt;samples&lt;/keyword&gt;&lt;keyword&gt;sulfur&lt;/keyword&gt;&lt;keyword&gt;icpms&lt;/keyword&gt;&lt;/keywords&gt;&lt;dates&gt;&lt;year&gt;2015&lt;/year&gt;&lt;pub-dates&gt;&lt;date&gt;Mar 3&lt;/date&gt;&lt;/pub-dates&gt;&lt;/dates&gt;&lt;isbn&gt;0003-2700&lt;/isbn&gt;&lt;accession-num&gt;WOS:000350611700046&lt;/accession-num&gt;&lt;urls&gt;&lt;related-urls&gt;&lt;url&gt;&amp;lt;Go to ISI&amp;gt;://WOS:000350611700046&lt;/url&gt;&lt;/related-urls&gt;&lt;/urls&gt;&lt;electronic-resource-num&gt;Doi 10.1021/Ac504232u&lt;/electronic-resource-num&gt;&lt;language&gt;English&lt;/language&gt;&lt;/record&gt;&lt;/Cite&gt;&lt;/EndNote&gt;</w:instrText>
      </w:r>
      <w:r w:rsidR="00951132" w:rsidRPr="00397A1A">
        <w:rPr>
          <w:rFonts w:ascii="Arial" w:hAnsi="Arial" w:cs="Arial"/>
          <w:sz w:val="20"/>
          <w:szCs w:val="20"/>
          <w:lang w:val="en-US"/>
        </w:rPr>
        <w:fldChar w:fldCharType="separate"/>
      </w:r>
      <w:r w:rsidR="00951132" w:rsidRPr="00397A1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951132" w:rsidRPr="00397A1A">
        <w:rPr>
          <w:rFonts w:ascii="Arial" w:hAnsi="Arial" w:cs="Arial"/>
          <w:sz w:val="20"/>
          <w:szCs w:val="20"/>
          <w:lang w:val="en-US"/>
        </w:rPr>
        <w:fldChar w:fldCharType="end"/>
      </w:r>
      <w:r w:rsidR="0063046C">
        <w:rPr>
          <w:rFonts w:ascii="Arial" w:hAnsi="Arial" w:cs="Arial"/>
          <w:sz w:val="20"/>
          <w:szCs w:val="20"/>
          <w:lang w:val="en-US"/>
        </w:rPr>
        <w:t>,</w:t>
      </w:r>
      <w:r w:rsidR="00603021">
        <w:rPr>
          <w:rFonts w:ascii="Arial" w:hAnsi="Arial" w:cs="Arial"/>
          <w:sz w:val="20"/>
          <w:szCs w:val="20"/>
          <w:lang w:val="en-US"/>
        </w:rPr>
        <w:t xml:space="preserve"> </w:t>
      </w:r>
      <w:r w:rsidR="0063046C">
        <w:rPr>
          <w:rFonts w:ascii="Arial" w:hAnsi="Arial" w:cs="Arial"/>
          <w:sz w:val="20"/>
          <w:szCs w:val="20"/>
          <w:lang w:val="en-US"/>
        </w:rPr>
        <w:t xml:space="preserve">also not detectable by IRMS, </w:t>
      </w:r>
      <w:r w:rsidR="003B543A">
        <w:rPr>
          <w:rFonts w:ascii="Arial" w:hAnsi="Arial" w:cs="Arial"/>
          <w:sz w:val="20"/>
          <w:szCs w:val="20"/>
          <w:lang w:val="en-US"/>
        </w:rPr>
        <w:t xml:space="preserve">are formed depending </w:t>
      </w:r>
      <w:r w:rsidR="0063046C">
        <w:rPr>
          <w:rFonts w:ascii="Arial" w:hAnsi="Arial" w:cs="Arial"/>
          <w:sz w:val="20"/>
          <w:szCs w:val="20"/>
          <w:lang w:val="en-US"/>
        </w:rPr>
        <w:t xml:space="preserve">on </w:t>
      </w:r>
      <w:r w:rsidR="003B543A">
        <w:rPr>
          <w:rFonts w:ascii="Arial" w:hAnsi="Arial" w:cs="Arial"/>
          <w:sz w:val="20"/>
          <w:szCs w:val="20"/>
          <w:lang w:val="en-US"/>
        </w:rPr>
        <w:t>reactor load during the conversion and interfere with the isotope ratio determination even at low concentrations of &gt;1% compared to the produced amount o</w:t>
      </w:r>
      <w:r w:rsidR="0063046C">
        <w:rPr>
          <w:rFonts w:ascii="Arial" w:hAnsi="Arial" w:cs="Arial"/>
          <w:sz w:val="20"/>
          <w:szCs w:val="20"/>
          <w:lang w:val="en-US"/>
        </w:rPr>
        <w:t xml:space="preserve">f carbon monoxide. (iii) </w:t>
      </w:r>
      <w:proofErr w:type="gramStart"/>
      <w:r w:rsidR="003B543A">
        <w:rPr>
          <w:rFonts w:ascii="Arial" w:hAnsi="Arial" w:cs="Arial"/>
          <w:sz w:val="20"/>
          <w:szCs w:val="20"/>
          <w:lang w:val="en-US"/>
        </w:rPr>
        <w:t>tube</w:t>
      </w:r>
      <w:proofErr w:type="gramEnd"/>
      <w:r w:rsidR="003B543A">
        <w:rPr>
          <w:rFonts w:ascii="Arial" w:hAnsi="Arial" w:cs="Arial"/>
          <w:sz w:val="20"/>
          <w:szCs w:val="20"/>
          <w:lang w:val="en-US"/>
        </w:rPr>
        <w:t>-in-tu</w:t>
      </w:r>
      <w:r w:rsidR="0063046C">
        <w:rPr>
          <w:rFonts w:ascii="Arial" w:hAnsi="Arial" w:cs="Arial"/>
          <w:sz w:val="20"/>
          <w:szCs w:val="20"/>
          <w:lang w:val="en-US"/>
        </w:rPr>
        <w:t>be reactors bear the risk of non</w:t>
      </w:r>
      <w:r w:rsidR="003B543A">
        <w:rPr>
          <w:rFonts w:ascii="Arial" w:hAnsi="Arial" w:cs="Arial"/>
          <w:sz w:val="20"/>
          <w:szCs w:val="20"/>
          <w:lang w:val="en-US"/>
        </w:rPr>
        <w:t xml:space="preserve">-preferential flow resulting in </w:t>
      </w:r>
      <w:r w:rsidR="0063046C">
        <w:rPr>
          <w:rFonts w:ascii="Arial" w:hAnsi="Arial" w:cs="Arial"/>
          <w:sz w:val="20"/>
          <w:szCs w:val="20"/>
          <w:lang w:val="en-US"/>
        </w:rPr>
        <w:t xml:space="preserve">a second carbon monoxide source </w:t>
      </w:r>
      <w:r w:rsidR="003B543A">
        <w:rPr>
          <w:rFonts w:ascii="Arial" w:hAnsi="Arial" w:cs="Arial"/>
          <w:sz w:val="20"/>
          <w:szCs w:val="20"/>
          <w:lang w:val="en-US"/>
        </w:rPr>
        <w:t>of up to 30%</w:t>
      </w:r>
      <w:r w:rsidR="0063046C">
        <w:rPr>
          <w:rFonts w:ascii="Arial" w:hAnsi="Arial" w:cs="Arial"/>
          <w:sz w:val="20"/>
          <w:szCs w:val="20"/>
          <w:lang w:val="en-US"/>
        </w:rPr>
        <w:t xml:space="preserve"> and a bulk isotope information due to contact of the sample</w:t>
      </w:r>
      <w:r w:rsidR="003B543A">
        <w:rPr>
          <w:rFonts w:ascii="Arial" w:hAnsi="Arial" w:cs="Arial"/>
          <w:sz w:val="20"/>
          <w:szCs w:val="20"/>
          <w:lang w:val="en-US"/>
        </w:rPr>
        <w:t xml:space="preserve"> with the reactor ceramic. </w:t>
      </w:r>
      <w:r w:rsidR="00951132" w:rsidRPr="00397A1A">
        <w:rPr>
          <w:rFonts w:ascii="Arial" w:hAnsi="Arial" w:cs="Arial"/>
          <w:sz w:val="20"/>
          <w:szCs w:val="20"/>
          <w:lang w:val="en-US"/>
        </w:rPr>
        <w:t xml:space="preserve">It </w:t>
      </w:r>
      <w:r w:rsidR="00800C93" w:rsidRPr="00397A1A">
        <w:rPr>
          <w:rFonts w:ascii="Arial" w:hAnsi="Arial" w:cs="Arial"/>
          <w:sz w:val="20"/>
          <w:szCs w:val="20"/>
          <w:lang w:val="en-US"/>
        </w:rPr>
        <w:t xml:space="preserve">goes without saying, that such drawbacks have to be examined and eliminated </w:t>
      </w:r>
      <w:r w:rsidR="00C913F4" w:rsidRPr="00397A1A">
        <w:rPr>
          <w:rFonts w:ascii="Arial" w:hAnsi="Arial" w:cs="Arial"/>
          <w:sz w:val="20"/>
          <w:szCs w:val="20"/>
          <w:lang w:val="en-US"/>
        </w:rPr>
        <w:t xml:space="preserve">prior to </w:t>
      </w:r>
      <w:r w:rsidR="00800C93" w:rsidRPr="00397A1A">
        <w:rPr>
          <w:rFonts w:ascii="Arial" w:hAnsi="Arial" w:cs="Arial"/>
          <w:sz w:val="20"/>
          <w:szCs w:val="20"/>
          <w:lang w:val="en-US"/>
        </w:rPr>
        <w:t>accurate measure</w:t>
      </w:r>
      <w:r w:rsidR="00C913F4" w:rsidRPr="00397A1A">
        <w:rPr>
          <w:rFonts w:ascii="Arial" w:hAnsi="Arial" w:cs="Arial"/>
          <w:sz w:val="20"/>
          <w:szCs w:val="20"/>
          <w:lang w:val="en-US"/>
        </w:rPr>
        <w:t>ment of</w:t>
      </w:r>
      <w:r w:rsidR="00800C93" w:rsidRPr="00397A1A">
        <w:rPr>
          <w:rFonts w:ascii="Arial" w:hAnsi="Arial" w:cs="Arial"/>
          <w:sz w:val="20"/>
          <w:szCs w:val="20"/>
          <w:lang w:val="en-US"/>
        </w:rPr>
        <w:t xml:space="preserve"> oxygen stable isotope</w:t>
      </w:r>
      <w:r w:rsidR="00C913F4" w:rsidRPr="00397A1A">
        <w:rPr>
          <w:rFonts w:ascii="Arial" w:hAnsi="Arial" w:cs="Arial"/>
          <w:sz w:val="20"/>
          <w:szCs w:val="20"/>
          <w:lang w:val="en-US"/>
        </w:rPr>
        <w:t xml:space="preserve">s. </w:t>
      </w:r>
      <w:r w:rsidR="0063046C">
        <w:rPr>
          <w:rFonts w:ascii="Arial" w:hAnsi="Arial" w:cs="Arial"/>
          <w:sz w:val="20"/>
          <w:szCs w:val="20"/>
          <w:lang w:val="en-US"/>
        </w:rPr>
        <w:t>Thus</w:t>
      </w:r>
      <w:r w:rsidR="006E0933">
        <w:rPr>
          <w:rFonts w:ascii="Arial" w:hAnsi="Arial" w:cs="Arial"/>
          <w:sz w:val="20"/>
          <w:szCs w:val="20"/>
          <w:lang w:val="en-US"/>
        </w:rPr>
        <w:t>,</w:t>
      </w:r>
      <w:bookmarkStart w:id="0" w:name="_GoBack"/>
      <w:bookmarkEnd w:id="0"/>
      <w:r w:rsidR="0063046C">
        <w:rPr>
          <w:rFonts w:ascii="Arial" w:hAnsi="Arial" w:cs="Arial"/>
          <w:sz w:val="20"/>
          <w:szCs w:val="20"/>
          <w:lang w:val="en-US"/>
        </w:rPr>
        <w:t xml:space="preserve"> in</w:t>
      </w:r>
      <w:r w:rsidR="003B543A">
        <w:rPr>
          <w:rFonts w:ascii="Arial" w:hAnsi="Arial" w:cs="Arial"/>
          <w:sz w:val="20"/>
          <w:szCs w:val="20"/>
          <w:lang w:val="en-US"/>
        </w:rPr>
        <w:t xml:space="preserve"> this study we</w:t>
      </w:r>
      <w:r w:rsidR="0063046C">
        <w:rPr>
          <w:rFonts w:ascii="Arial" w:hAnsi="Arial" w:cs="Arial"/>
          <w:sz w:val="20"/>
          <w:szCs w:val="20"/>
          <w:lang w:val="en-US"/>
        </w:rPr>
        <w:t xml:space="preserve"> raised</w:t>
      </w:r>
      <w:r w:rsidR="003B543A" w:rsidRPr="00397A1A">
        <w:rPr>
          <w:rFonts w:ascii="Arial" w:hAnsi="Arial" w:cs="Arial"/>
          <w:sz w:val="20"/>
          <w:szCs w:val="20"/>
          <w:lang w:val="en-US"/>
        </w:rPr>
        <w:t xml:space="preserve"> the question about conversion conditions required to obtain reliable compound specific GC-HTC-IRMS results</w:t>
      </w:r>
      <w:r w:rsidR="0063046C">
        <w:rPr>
          <w:rFonts w:ascii="Arial" w:hAnsi="Arial" w:cs="Arial"/>
          <w:sz w:val="20"/>
          <w:szCs w:val="20"/>
          <w:lang w:val="en-US"/>
        </w:rPr>
        <w:t xml:space="preserve"> and developed an </w:t>
      </w:r>
      <w:r w:rsidR="004876C5" w:rsidRPr="00397A1A">
        <w:rPr>
          <w:rFonts w:ascii="Arial" w:hAnsi="Arial" w:cs="Arial"/>
          <w:sz w:val="20"/>
          <w:szCs w:val="20"/>
          <w:lang w:val="en-US"/>
        </w:rPr>
        <w:t xml:space="preserve">assessment strategy </w:t>
      </w:r>
      <w:r w:rsidR="0063046C">
        <w:rPr>
          <w:rFonts w:ascii="Arial" w:hAnsi="Arial" w:cs="Arial"/>
          <w:sz w:val="20"/>
          <w:szCs w:val="20"/>
          <w:lang w:val="en-US"/>
        </w:rPr>
        <w:t>for reactors</w:t>
      </w:r>
      <w:r w:rsidR="004876C5" w:rsidRPr="00397A1A">
        <w:rPr>
          <w:rFonts w:ascii="Arial" w:hAnsi="Arial" w:cs="Arial"/>
          <w:sz w:val="20"/>
          <w:szCs w:val="20"/>
          <w:lang w:val="en-US"/>
        </w:rPr>
        <w:t xml:space="preserve"> which highlights possible interfering </w:t>
      </w:r>
      <w:r w:rsidR="00372A72" w:rsidRPr="00397A1A">
        <w:rPr>
          <w:rFonts w:ascii="Arial" w:hAnsi="Arial" w:cs="Arial"/>
          <w:sz w:val="20"/>
          <w:szCs w:val="20"/>
          <w:lang w:val="en-US"/>
        </w:rPr>
        <w:t>oxygen sou</w:t>
      </w:r>
      <w:r w:rsidR="00397A1A">
        <w:rPr>
          <w:rFonts w:ascii="Arial" w:hAnsi="Arial" w:cs="Arial"/>
          <w:sz w:val="20"/>
          <w:szCs w:val="20"/>
          <w:lang w:val="en-US"/>
        </w:rPr>
        <w:t>r</w:t>
      </w:r>
      <w:r w:rsidR="00372A72" w:rsidRPr="00397A1A">
        <w:rPr>
          <w:rFonts w:ascii="Arial" w:hAnsi="Arial" w:cs="Arial"/>
          <w:sz w:val="20"/>
          <w:szCs w:val="20"/>
          <w:lang w:val="en-US"/>
        </w:rPr>
        <w:t xml:space="preserve">ces and HTC byproduct formation processes and offers analytical approaches to their distinct identification.  </w:t>
      </w:r>
    </w:p>
    <w:p w14:paraId="452A7896" w14:textId="77777777" w:rsidR="00E87FDA" w:rsidRPr="00397A1A" w:rsidRDefault="00E87FDA" w:rsidP="0022075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960FF11" w14:textId="77777777" w:rsidR="00220750" w:rsidRPr="00397A1A" w:rsidRDefault="00E87FDA" w:rsidP="00220750">
      <w:pPr>
        <w:pStyle w:val="EndNoteBibliography"/>
        <w:rPr>
          <w:noProof w:val="0"/>
          <w:lang w:val="en-US"/>
        </w:rPr>
      </w:pPr>
      <w:r w:rsidRPr="00397A1A">
        <w:rPr>
          <w:noProof w:val="0"/>
          <w:szCs w:val="20"/>
          <w:lang w:val="en-US"/>
        </w:rPr>
        <w:fldChar w:fldCharType="begin"/>
      </w:r>
      <w:r w:rsidRPr="00397A1A">
        <w:rPr>
          <w:noProof w:val="0"/>
          <w:szCs w:val="20"/>
          <w:lang w:val="en-US"/>
        </w:rPr>
        <w:instrText xml:space="preserve"> ADDIN EN.REFLIST </w:instrText>
      </w:r>
      <w:r w:rsidRPr="00397A1A">
        <w:rPr>
          <w:noProof w:val="0"/>
          <w:szCs w:val="20"/>
          <w:lang w:val="en-US"/>
        </w:rPr>
        <w:fldChar w:fldCharType="separate"/>
      </w:r>
      <w:r w:rsidR="00220750" w:rsidRPr="00397A1A">
        <w:rPr>
          <w:b/>
          <w:noProof w:val="0"/>
          <w:vertAlign w:val="superscript"/>
          <w:lang w:val="en-US"/>
        </w:rPr>
        <w:t xml:space="preserve">1 </w:t>
      </w:r>
      <w:r w:rsidR="00220750" w:rsidRPr="00397A1A">
        <w:rPr>
          <w:noProof w:val="0"/>
          <w:lang w:val="en-US"/>
        </w:rPr>
        <w:t xml:space="preserve">Kornexl, B. E.; Gehre, M.; Hofling, R.; Werner, R. A. </w:t>
      </w:r>
      <w:r w:rsidR="00220750" w:rsidRPr="00397A1A">
        <w:rPr>
          <w:i/>
          <w:noProof w:val="0"/>
          <w:lang w:val="en-US"/>
        </w:rPr>
        <w:t>Rapid Commun. Mass Spectrom.</w:t>
      </w:r>
      <w:r w:rsidR="00220750" w:rsidRPr="00397A1A">
        <w:rPr>
          <w:noProof w:val="0"/>
          <w:lang w:val="en-US"/>
        </w:rPr>
        <w:t xml:space="preserve"> </w:t>
      </w:r>
      <w:r w:rsidR="00220750" w:rsidRPr="00397A1A">
        <w:rPr>
          <w:b/>
          <w:noProof w:val="0"/>
          <w:lang w:val="en-US"/>
        </w:rPr>
        <w:t>1999,</w:t>
      </w:r>
      <w:r w:rsidR="00220750" w:rsidRPr="00397A1A">
        <w:rPr>
          <w:noProof w:val="0"/>
          <w:lang w:val="en-US"/>
        </w:rPr>
        <w:t xml:space="preserve"> </w:t>
      </w:r>
      <w:r w:rsidR="00220750" w:rsidRPr="00397A1A">
        <w:rPr>
          <w:i/>
          <w:noProof w:val="0"/>
          <w:lang w:val="en-US"/>
        </w:rPr>
        <w:t>13</w:t>
      </w:r>
      <w:r w:rsidR="00220750" w:rsidRPr="00397A1A">
        <w:rPr>
          <w:noProof w:val="0"/>
          <w:lang w:val="en-US"/>
        </w:rPr>
        <w:t>, 1685-1693.</w:t>
      </w:r>
    </w:p>
    <w:p w14:paraId="6925EA38" w14:textId="77777777" w:rsidR="00220750" w:rsidRPr="00397A1A" w:rsidRDefault="00220750" w:rsidP="00220750">
      <w:pPr>
        <w:pStyle w:val="EndNoteBibliography"/>
        <w:rPr>
          <w:noProof w:val="0"/>
          <w:lang w:val="en-US"/>
        </w:rPr>
      </w:pPr>
      <w:r w:rsidRPr="00397A1A">
        <w:rPr>
          <w:b/>
          <w:noProof w:val="0"/>
          <w:vertAlign w:val="superscript"/>
          <w:lang w:val="en-US"/>
        </w:rPr>
        <w:t xml:space="preserve">2 </w:t>
      </w:r>
      <w:r w:rsidRPr="00397A1A">
        <w:rPr>
          <w:noProof w:val="0"/>
          <w:lang w:val="en-US"/>
        </w:rPr>
        <w:t xml:space="preserve">Renpenning, J.; Hitzfeld, K. L.; Gilevska, T.; Nijenhuis, I.; Gehre, M.; Richnow, H. H. </w:t>
      </w:r>
      <w:r w:rsidRPr="00397A1A">
        <w:rPr>
          <w:i/>
          <w:noProof w:val="0"/>
          <w:lang w:val="en-US"/>
        </w:rPr>
        <w:t>Anal. Chem.</w:t>
      </w:r>
      <w:r w:rsidRPr="00397A1A">
        <w:rPr>
          <w:noProof w:val="0"/>
          <w:lang w:val="en-US"/>
        </w:rPr>
        <w:t xml:space="preserve"> </w:t>
      </w:r>
      <w:r w:rsidRPr="00397A1A">
        <w:rPr>
          <w:b/>
          <w:noProof w:val="0"/>
          <w:lang w:val="en-US"/>
        </w:rPr>
        <w:t>2015,</w:t>
      </w:r>
      <w:r w:rsidRPr="00397A1A">
        <w:rPr>
          <w:noProof w:val="0"/>
          <w:lang w:val="en-US"/>
        </w:rPr>
        <w:t xml:space="preserve"> </w:t>
      </w:r>
      <w:r w:rsidRPr="00397A1A">
        <w:rPr>
          <w:i/>
          <w:noProof w:val="0"/>
          <w:lang w:val="en-US"/>
        </w:rPr>
        <w:t>87</w:t>
      </w:r>
      <w:r w:rsidRPr="00397A1A">
        <w:rPr>
          <w:noProof w:val="0"/>
          <w:lang w:val="en-US"/>
        </w:rPr>
        <w:t>, 2832-2839.</w:t>
      </w:r>
    </w:p>
    <w:p w14:paraId="6E974546" w14:textId="77777777" w:rsidR="00220750" w:rsidRPr="00397A1A" w:rsidRDefault="00220750" w:rsidP="00220750">
      <w:pPr>
        <w:pStyle w:val="EndNoteBibliography"/>
        <w:rPr>
          <w:noProof w:val="0"/>
          <w:lang w:val="en-US"/>
        </w:rPr>
      </w:pPr>
    </w:p>
    <w:p w14:paraId="3C4993F4" w14:textId="77777777" w:rsidR="007B060B" w:rsidRPr="00397A1A" w:rsidRDefault="00E87FDA" w:rsidP="007B060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97A1A">
        <w:rPr>
          <w:rFonts w:ascii="Arial" w:hAnsi="Arial" w:cs="Arial"/>
          <w:sz w:val="20"/>
          <w:szCs w:val="20"/>
          <w:lang w:val="en-US"/>
        </w:rPr>
        <w:fldChar w:fldCharType="end"/>
      </w:r>
      <w:r w:rsidR="007B060B" w:rsidRPr="00397A1A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7B060B" w:rsidRPr="00397A1A" w:rsidSect="00220750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CS_Number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0fvat9mdsedre29v3xw9eq0tv0dtrt2azw&quot;&gt;K.Hitzfeld&lt;record-ids&gt;&lt;item&gt;291&lt;/item&gt;&lt;item&gt;549&lt;/item&gt;&lt;/record-ids&gt;&lt;/item&gt;&lt;/Libraries&gt;"/>
  </w:docVars>
  <w:rsids>
    <w:rsidRoot w:val="004F3F40"/>
    <w:rsid w:val="000F7DDD"/>
    <w:rsid w:val="001A6F72"/>
    <w:rsid w:val="001E4C79"/>
    <w:rsid w:val="001F4812"/>
    <w:rsid w:val="00203F8F"/>
    <w:rsid w:val="00206379"/>
    <w:rsid w:val="00220750"/>
    <w:rsid w:val="00241318"/>
    <w:rsid w:val="00372A72"/>
    <w:rsid w:val="00397A1A"/>
    <w:rsid w:val="003B543A"/>
    <w:rsid w:val="00432E55"/>
    <w:rsid w:val="00455675"/>
    <w:rsid w:val="00455DBB"/>
    <w:rsid w:val="004876C5"/>
    <w:rsid w:val="004B2CE5"/>
    <w:rsid w:val="004F3F40"/>
    <w:rsid w:val="00536439"/>
    <w:rsid w:val="00603021"/>
    <w:rsid w:val="0063046C"/>
    <w:rsid w:val="006B61AD"/>
    <w:rsid w:val="006E0933"/>
    <w:rsid w:val="007B060B"/>
    <w:rsid w:val="00800C93"/>
    <w:rsid w:val="008C47B6"/>
    <w:rsid w:val="008E1BB9"/>
    <w:rsid w:val="00951132"/>
    <w:rsid w:val="009B473C"/>
    <w:rsid w:val="00A34C75"/>
    <w:rsid w:val="00A377E4"/>
    <w:rsid w:val="00A4450B"/>
    <w:rsid w:val="00B10E8D"/>
    <w:rsid w:val="00B4743A"/>
    <w:rsid w:val="00B521E9"/>
    <w:rsid w:val="00BB51C3"/>
    <w:rsid w:val="00C22D80"/>
    <w:rsid w:val="00C4380E"/>
    <w:rsid w:val="00C54F4B"/>
    <w:rsid w:val="00C913F4"/>
    <w:rsid w:val="00D2223F"/>
    <w:rsid w:val="00DE38D6"/>
    <w:rsid w:val="00DF6705"/>
    <w:rsid w:val="00E05237"/>
    <w:rsid w:val="00E87FDA"/>
    <w:rsid w:val="00F8429A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E4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E87FDA"/>
    <w:pPr>
      <w:jc w:val="center"/>
    </w:pPr>
    <w:rPr>
      <w:rFonts w:ascii="Arial" w:hAnsi="Arial" w:cs="Arial"/>
      <w:noProof/>
      <w:sz w:val="20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87FDA"/>
    <w:rPr>
      <w:rFonts w:ascii="Arial" w:hAnsi="Arial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Zchn"/>
    <w:rsid w:val="00E87FDA"/>
    <w:pPr>
      <w:jc w:val="both"/>
    </w:pPr>
    <w:rPr>
      <w:rFonts w:ascii="Arial" w:hAnsi="Arial" w:cs="Arial"/>
      <w:noProof/>
      <w:sz w:val="20"/>
    </w:rPr>
  </w:style>
  <w:style w:type="character" w:customStyle="1" w:styleId="EndNoteBibliographyZchn">
    <w:name w:val="EndNote Bibliography Zchn"/>
    <w:basedOn w:val="DefaultParagraphFont"/>
    <w:link w:val="EndNoteBibliography"/>
    <w:rsid w:val="00E87FDA"/>
    <w:rPr>
      <w:rFonts w:ascii="Arial" w:hAnsi="Arial" w:cs="Arial"/>
      <w:noProof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E87FDA"/>
    <w:pPr>
      <w:jc w:val="center"/>
    </w:pPr>
    <w:rPr>
      <w:rFonts w:ascii="Arial" w:hAnsi="Arial" w:cs="Arial"/>
      <w:noProof/>
      <w:sz w:val="20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87FDA"/>
    <w:rPr>
      <w:rFonts w:ascii="Arial" w:hAnsi="Arial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Zchn"/>
    <w:rsid w:val="00E87FDA"/>
    <w:pPr>
      <w:jc w:val="both"/>
    </w:pPr>
    <w:rPr>
      <w:rFonts w:ascii="Arial" w:hAnsi="Arial" w:cs="Arial"/>
      <w:noProof/>
      <w:sz w:val="20"/>
    </w:rPr>
  </w:style>
  <w:style w:type="character" w:customStyle="1" w:styleId="EndNoteBibliographyZchn">
    <w:name w:val="EndNote Bibliography Zchn"/>
    <w:basedOn w:val="DefaultParagraphFont"/>
    <w:link w:val="EndNoteBibliography"/>
    <w:rsid w:val="00E87FDA"/>
    <w:rPr>
      <w:rFonts w:ascii="Arial" w:hAnsi="Arial" w:cs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1333</Words>
  <Characters>7604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8920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Marie</cp:lastModifiedBy>
  <cp:revision>3</cp:revision>
  <dcterms:created xsi:type="dcterms:W3CDTF">2015-04-27T08:11:00Z</dcterms:created>
  <dcterms:modified xsi:type="dcterms:W3CDTF">2015-04-27T08:59:00Z</dcterms:modified>
</cp:coreProperties>
</file>