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BF097" w14:textId="77777777" w:rsidR="00DF6705" w:rsidRPr="005052D3" w:rsidRDefault="005052D3" w:rsidP="00DF6705">
      <w:pPr>
        <w:spacing w:after="120"/>
        <w:rPr>
          <w:rFonts w:ascii="Arial" w:hAnsi="Arial" w:cs="Arial"/>
          <w:b/>
          <w:noProof/>
          <w:sz w:val="28"/>
          <w:szCs w:val="28"/>
          <w:lang w:val="en-GB"/>
        </w:rPr>
      </w:pPr>
      <w:r w:rsidRPr="005052D3">
        <w:rPr>
          <w:rFonts w:ascii="Arial" w:hAnsi="Arial" w:cs="Arial"/>
          <w:b/>
          <w:noProof/>
          <w:sz w:val="28"/>
          <w:szCs w:val="28"/>
          <w:lang w:val="en-GB"/>
        </w:rPr>
        <w:t>Reliable QSAR Predictions of Fish Acute Toxicity: Classification of Toxicants by Mode of Action (MOA)</w:t>
      </w:r>
    </w:p>
    <w:p w14:paraId="4C39A1A1" w14:textId="77777777" w:rsidR="001F4812" w:rsidRPr="005052D3" w:rsidRDefault="001F4812" w:rsidP="00DF6705">
      <w:pPr>
        <w:spacing w:after="120"/>
        <w:rPr>
          <w:rFonts w:ascii="Arial" w:hAnsi="Arial" w:cs="Arial"/>
          <w:b/>
          <w:noProof/>
          <w:sz w:val="32"/>
          <w:szCs w:val="32"/>
          <w:lang w:val="en-GB"/>
        </w:rPr>
      </w:pPr>
    </w:p>
    <w:p w14:paraId="59FA6FFC" w14:textId="77777777" w:rsidR="00DF6705" w:rsidRPr="005052D3" w:rsidRDefault="00526C32" w:rsidP="00DF6705">
      <w:pPr>
        <w:spacing w:after="120"/>
        <w:rPr>
          <w:rFonts w:ascii="Arial" w:hAnsi="Arial" w:cs="Arial"/>
          <w:smallCaps/>
          <w:noProof/>
          <w:vertAlign w:val="superscript"/>
        </w:rPr>
      </w:pPr>
      <w:r w:rsidRPr="00526C32">
        <w:rPr>
          <w:rFonts w:ascii="Arial" w:hAnsi="Arial" w:cs="Arial"/>
          <w:smallCaps/>
          <w:noProof/>
          <w:u w:val="single"/>
        </w:rPr>
        <w:t>Monika Nendza</w:t>
      </w:r>
      <w:r w:rsidRPr="00526C32">
        <w:rPr>
          <w:rFonts w:ascii="Arial" w:hAnsi="Arial" w:cs="Arial"/>
          <w:smallCaps/>
          <w:noProof/>
        </w:rPr>
        <w:t xml:space="preserve"> </w:t>
      </w:r>
      <w:r w:rsidR="00DF6705" w:rsidRPr="005052D3">
        <w:rPr>
          <w:rFonts w:ascii="Arial" w:hAnsi="Arial" w:cs="Arial"/>
          <w:smallCaps/>
          <w:noProof/>
          <w:vertAlign w:val="superscript"/>
        </w:rPr>
        <w:t>1</w:t>
      </w:r>
      <w:r w:rsidR="00DF6705" w:rsidRPr="005052D3">
        <w:rPr>
          <w:rFonts w:ascii="Arial" w:hAnsi="Arial" w:cs="Arial"/>
          <w:smallCaps/>
          <w:noProof/>
        </w:rPr>
        <w:t xml:space="preserve">, </w:t>
      </w:r>
      <w:r w:rsidRPr="00526C32">
        <w:rPr>
          <w:rFonts w:ascii="Arial" w:hAnsi="Arial" w:cs="Arial"/>
          <w:bCs/>
          <w:smallCaps/>
          <w:noProof/>
        </w:rPr>
        <w:t>Martin Müller</w:t>
      </w:r>
      <w:r w:rsidRPr="00526C32">
        <w:rPr>
          <w:rFonts w:ascii="Arial" w:hAnsi="Arial" w:cs="Arial"/>
          <w:smallCaps/>
          <w:noProof/>
          <w:vertAlign w:val="superscript"/>
        </w:rPr>
        <w:t xml:space="preserve"> </w:t>
      </w:r>
      <w:r w:rsidR="00DF6705" w:rsidRPr="005052D3">
        <w:rPr>
          <w:rFonts w:ascii="Arial" w:hAnsi="Arial" w:cs="Arial"/>
          <w:smallCaps/>
          <w:noProof/>
          <w:vertAlign w:val="superscript"/>
        </w:rPr>
        <w:t>2</w:t>
      </w:r>
      <w:r w:rsidRPr="005052D3">
        <w:rPr>
          <w:rFonts w:ascii="Arial" w:hAnsi="Arial" w:cs="Arial"/>
          <w:smallCaps/>
          <w:noProof/>
        </w:rPr>
        <w:t xml:space="preserve">, </w:t>
      </w:r>
      <w:r w:rsidRPr="00526C32">
        <w:rPr>
          <w:rFonts w:ascii="Arial" w:hAnsi="Arial" w:cs="Arial"/>
          <w:bCs/>
          <w:smallCaps/>
          <w:noProof/>
        </w:rPr>
        <w:t>Andrea Wenzel</w:t>
      </w:r>
      <w:r w:rsidRPr="00526C32">
        <w:rPr>
          <w:rFonts w:ascii="Arial" w:hAnsi="Arial" w:cs="Arial"/>
          <w:smallCaps/>
          <w:noProof/>
          <w:vertAlign w:val="superscript"/>
        </w:rPr>
        <w:t xml:space="preserve"> </w:t>
      </w:r>
      <w:r w:rsidRPr="005052D3">
        <w:rPr>
          <w:rFonts w:ascii="Arial" w:hAnsi="Arial" w:cs="Arial"/>
          <w:smallCaps/>
          <w:noProof/>
          <w:vertAlign w:val="superscript"/>
        </w:rPr>
        <w:t>2</w:t>
      </w:r>
    </w:p>
    <w:p w14:paraId="77A6EFDC" w14:textId="6EF6FD13" w:rsidR="00DF6705" w:rsidRPr="000F7DDD" w:rsidRDefault="00DF6705" w:rsidP="00DF6705">
      <w:pPr>
        <w:rPr>
          <w:rFonts w:ascii="Arial" w:hAnsi="Arial" w:cs="Arial"/>
          <w:noProof/>
          <w:sz w:val="18"/>
          <w:szCs w:val="18"/>
        </w:rPr>
      </w:pPr>
      <w:r w:rsidRPr="00A34C75">
        <w:rPr>
          <w:rFonts w:ascii="Arial" w:hAnsi="Arial" w:cs="Arial"/>
          <w:noProof/>
          <w:sz w:val="18"/>
          <w:szCs w:val="18"/>
          <w:vertAlign w:val="superscript"/>
        </w:rPr>
        <w:t xml:space="preserve">1 </w:t>
      </w:r>
      <w:r w:rsidR="00526C32" w:rsidRPr="00526C32">
        <w:rPr>
          <w:rFonts w:ascii="Arial" w:hAnsi="Arial" w:cs="Arial"/>
          <w:bCs/>
          <w:noProof/>
          <w:sz w:val="18"/>
          <w:szCs w:val="18"/>
        </w:rPr>
        <w:t>Analytisches Laboratorium AL-Luhnstedt, Bahnho</w:t>
      </w:r>
      <w:r w:rsidR="00526C32">
        <w:rPr>
          <w:rFonts w:ascii="Arial" w:hAnsi="Arial" w:cs="Arial"/>
          <w:bCs/>
          <w:noProof/>
          <w:sz w:val="18"/>
          <w:szCs w:val="18"/>
        </w:rPr>
        <w:t>fstraße 1, 24816 Luhnstedt</w:t>
      </w:r>
      <w:r w:rsidR="00A34C75" w:rsidRPr="00A34C75">
        <w:rPr>
          <w:rFonts w:ascii="Arial" w:hAnsi="Arial" w:cs="Arial"/>
          <w:noProof/>
          <w:sz w:val="18"/>
          <w:szCs w:val="18"/>
        </w:rPr>
        <w:t>,</w:t>
      </w:r>
      <w:r w:rsidR="009322EF">
        <w:rPr>
          <w:rFonts w:ascii="Arial" w:hAnsi="Arial" w:cs="Arial"/>
          <w:noProof/>
          <w:sz w:val="18"/>
          <w:szCs w:val="18"/>
        </w:rPr>
        <w:t xml:space="preserve"> Germany,</w:t>
      </w:r>
      <w:r w:rsidR="00A34C75" w:rsidRPr="00A34C75">
        <w:rPr>
          <w:rFonts w:ascii="Arial" w:hAnsi="Arial" w:cs="Arial"/>
          <w:noProof/>
          <w:sz w:val="18"/>
          <w:szCs w:val="18"/>
        </w:rPr>
        <w:t xml:space="preserve"> </w:t>
      </w:r>
      <w:hyperlink r:id="rId5" w:history="1">
        <w:r w:rsidR="00DD662B" w:rsidRPr="00200489">
          <w:rPr>
            <w:rStyle w:val="Hyperlink"/>
            <w:rFonts w:ascii="Arial" w:hAnsi="Arial" w:cs="Arial"/>
            <w:bCs/>
            <w:noProof/>
            <w:sz w:val="20"/>
            <w:szCs w:val="20"/>
          </w:rPr>
          <w:t>nendza@al-luhnstedt.de</w:t>
        </w:r>
      </w:hyperlink>
    </w:p>
    <w:p w14:paraId="5A4CB88A" w14:textId="00ED2F1E" w:rsidR="00DF6705" w:rsidRPr="000F7DDD" w:rsidRDefault="00DF6705" w:rsidP="00DF6705">
      <w:pPr>
        <w:spacing w:after="120"/>
        <w:rPr>
          <w:rFonts w:ascii="Arial" w:hAnsi="Arial" w:cs="Arial"/>
          <w:noProof/>
          <w:sz w:val="18"/>
          <w:szCs w:val="18"/>
        </w:rPr>
      </w:pPr>
      <w:r w:rsidRPr="000F7DDD">
        <w:rPr>
          <w:rFonts w:ascii="Arial" w:hAnsi="Arial" w:cs="Arial"/>
          <w:noProof/>
          <w:sz w:val="18"/>
          <w:szCs w:val="18"/>
          <w:vertAlign w:val="superscript"/>
        </w:rPr>
        <w:t xml:space="preserve">2 </w:t>
      </w:r>
      <w:r w:rsidR="00DD662B" w:rsidRPr="00DD662B">
        <w:rPr>
          <w:rFonts w:ascii="Arial" w:hAnsi="Arial" w:cs="Arial"/>
          <w:noProof/>
          <w:sz w:val="18"/>
          <w:szCs w:val="18"/>
        </w:rPr>
        <w:t xml:space="preserve">Fraunhofer </w:t>
      </w:r>
      <w:r w:rsidR="009322EF">
        <w:rPr>
          <w:rFonts w:ascii="Arial" w:hAnsi="Arial" w:cs="Arial"/>
          <w:noProof/>
          <w:sz w:val="18"/>
          <w:szCs w:val="18"/>
        </w:rPr>
        <w:t xml:space="preserve">Institute for Molecular Biology and Applied Ecology </w:t>
      </w:r>
      <w:r w:rsidR="00DD662B" w:rsidRPr="00DD662B">
        <w:rPr>
          <w:rFonts w:ascii="Arial" w:hAnsi="Arial" w:cs="Arial"/>
          <w:noProof/>
          <w:sz w:val="18"/>
          <w:szCs w:val="18"/>
        </w:rPr>
        <w:t>IME, Auf dem Aberg 1, 57392 Schmallenberg</w:t>
      </w:r>
      <w:r w:rsidR="00A34C75" w:rsidRPr="00A34C75">
        <w:rPr>
          <w:rFonts w:ascii="Arial" w:hAnsi="Arial" w:cs="Arial"/>
          <w:noProof/>
          <w:sz w:val="18"/>
          <w:szCs w:val="18"/>
        </w:rPr>
        <w:t>,</w:t>
      </w:r>
      <w:r w:rsidR="00DD662B" w:rsidRPr="00DD662B">
        <w:t xml:space="preserve"> </w:t>
      </w:r>
      <w:r w:rsidR="009322EF" w:rsidRPr="009322EF">
        <w:rPr>
          <w:rFonts w:ascii="Arial" w:hAnsi="Arial" w:cs="Arial"/>
          <w:bCs/>
          <w:noProof/>
          <w:sz w:val="18"/>
          <w:szCs w:val="18"/>
        </w:rPr>
        <w:t>Germany</w:t>
      </w:r>
      <w:r w:rsidR="009322EF">
        <w:rPr>
          <w:rFonts w:ascii="Arial" w:hAnsi="Arial" w:cs="Arial"/>
          <w:bCs/>
          <w:noProof/>
          <w:sz w:val="18"/>
          <w:szCs w:val="18"/>
        </w:rPr>
        <w:t>,</w:t>
      </w:r>
      <w:r w:rsidR="009322EF">
        <w:t xml:space="preserve"> </w:t>
      </w:r>
      <w:hyperlink r:id="rId6" w:history="1">
        <w:r w:rsidR="00DD662B" w:rsidRPr="00200489">
          <w:rPr>
            <w:rStyle w:val="Hyperlink"/>
            <w:rFonts w:ascii="Arial" w:hAnsi="Arial" w:cs="Arial"/>
            <w:noProof/>
            <w:sz w:val="18"/>
            <w:szCs w:val="18"/>
          </w:rPr>
          <w:t>martin.mueller@ime.fraunhofer.de</w:t>
        </w:r>
      </w:hyperlink>
      <w:r w:rsidR="00DD662B">
        <w:rPr>
          <w:rFonts w:ascii="Arial" w:hAnsi="Arial" w:cs="Arial"/>
          <w:noProof/>
          <w:sz w:val="18"/>
          <w:szCs w:val="18"/>
        </w:rPr>
        <w:t xml:space="preserve">, </w:t>
      </w:r>
      <w:hyperlink r:id="rId7" w:history="1">
        <w:r w:rsidR="00757F9E">
          <w:rPr>
            <w:rStyle w:val="Hyperlink"/>
            <w:rFonts w:ascii="Arial" w:hAnsi="Arial" w:cs="Arial"/>
            <w:noProof/>
            <w:sz w:val="18"/>
            <w:szCs w:val="18"/>
          </w:rPr>
          <w:t>a</w:t>
        </w:r>
        <w:r w:rsidR="00757F9E" w:rsidRPr="00200489">
          <w:rPr>
            <w:rStyle w:val="Hyperlink"/>
            <w:rFonts w:ascii="Arial" w:hAnsi="Arial" w:cs="Arial"/>
            <w:noProof/>
            <w:sz w:val="18"/>
            <w:szCs w:val="18"/>
          </w:rPr>
          <w:t>ndrea.</w:t>
        </w:r>
        <w:r w:rsidR="00757F9E">
          <w:rPr>
            <w:rStyle w:val="Hyperlink"/>
            <w:rFonts w:ascii="Arial" w:hAnsi="Arial" w:cs="Arial"/>
            <w:noProof/>
            <w:sz w:val="18"/>
            <w:szCs w:val="18"/>
          </w:rPr>
          <w:t>w</w:t>
        </w:r>
        <w:r w:rsidR="00757F9E" w:rsidRPr="00200489">
          <w:rPr>
            <w:rStyle w:val="Hyperlink"/>
            <w:rFonts w:ascii="Arial" w:hAnsi="Arial" w:cs="Arial"/>
            <w:noProof/>
            <w:sz w:val="18"/>
            <w:szCs w:val="18"/>
          </w:rPr>
          <w:t>enzel@ime.fraunhofer.de</w:t>
        </w:r>
      </w:hyperlink>
      <w:bookmarkStart w:id="0" w:name="_GoBack"/>
      <w:bookmarkEnd w:id="0"/>
    </w:p>
    <w:p w14:paraId="4C507C72" w14:textId="77777777" w:rsidR="00241318" w:rsidRDefault="00241318"/>
    <w:p w14:paraId="46C2F3FC" w14:textId="77777777" w:rsidR="00D81E5A" w:rsidRDefault="005F5E84" w:rsidP="00D81E5A">
      <w:pPr>
        <w:jc w:val="both"/>
        <w:rPr>
          <w:rFonts w:ascii="Arial" w:hAnsi="Arial" w:cs="Arial"/>
          <w:bCs/>
          <w:noProof/>
          <w:sz w:val="20"/>
          <w:szCs w:val="20"/>
          <w:lang w:val="en-GB"/>
        </w:rPr>
      </w:pPr>
      <w:r w:rsidRPr="005052D3">
        <w:rPr>
          <w:rFonts w:ascii="Arial" w:hAnsi="Arial" w:cs="Arial"/>
          <w:noProof/>
          <w:sz w:val="20"/>
          <w:szCs w:val="20"/>
          <w:lang w:val="en-GB"/>
        </w:rPr>
        <w:t xml:space="preserve">Alternative methods to assess the (eco)toxicity of chemicals are required in different regulatory contexts (e.g. REACH). Prior to testing, all available </w:t>
      </w:r>
      <w:r w:rsidRPr="005052D3">
        <w:rPr>
          <w:rFonts w:ascii="Arial" w:hAnsi="Arial" w:cs="Arial"/>
          <w:i/>
          <w:iCs/>
          <w:noProof/>
          <w:sz w:val="20"/>
          <w:szCs w:val="20"/>
          <w:lang w:val="en-GB"/>
        </w:rPr>
        <w:t>in vitro</w:t>
      </w:r>
      <w:r w:rsidRPr="005052D3">
        <w:rPr>
          <w:rFonts w:ascii="Arial" w:hAnsi="Arial" w:cs="Arial"/>
          <w:noProof/>
          <w:sz w:val="20"/>
          <w:szCs w:val="20"/>
          <w:lang w:val="en-GB"/>
        </w:rPr>
        <w:t xml:space="preserve"> data, </w:t>
      </w:r>
      <w:r w:rsidRPr="005052D3">
        <w:rPr>
          <w:rFonts w:ascii="Arial" w:hAnsi="Arial" w:cs="Arial"/>
          <w:i/>
          <w:iCs/>
          <w:noProof/>
          <w:sz w:val="20"/>
          <w:szCs w:val="20"/>
          <w:lang w:val="en-GB"/>
        </w:rPr>
        <w:t>in vivo</w:t>
      </w:r>
      <w:r w:rsidRPr="005052D3">
        <w:rPr>
          <w:rFonts w:ascii="Arial" w:hAnsi="Arial" w:cs="Arial"/>
          <w:noProof/>
          <w:sz w:val="20"/>
          <w:szCs w:val="20"/>
          <w:lang w:val="en-GB"/>
        </w:rPr>
        <w:t xml:space="preserve"> data, historical human data, data from valid QSARs (quantitative structure-activity relationships) and data from structurally related substances (read-across) shall be assessed. The aim is to use existing knowledge and to reduce animal testing.</w:t>
      </w:r>
      <w:r w:rsidR="00DF6705" w:rsidRPr="005F5E84">
        <w:rPr>
          <w:rFonts w:ascii="Arial" w:hAnsi="Arial" w:cs="Arial"/>
          <w:noProof/>
          <w:sz w:val="20"/>
          <w:szCs w:val="20"/>
          <w:lang w:val="en-GB"/>
        </w:rPr>
        <w:t xml:space="preserve"> </w:t>
      </w:r>
      <w:r w:rsidR="00DC0C4A">
        <w:rPr>
          <w:rFonts w:ascii="Arial" w:hAnsi="Arial" w:cs="Arial"/>
          <w:noProof/>
          <w:sz w:val="20"/>
          <w:szCs w:val="20"/>
          <w:lang w:val="en-GB"/>
        </w:rPr>
        <w:t xml:space="preserve">Our work contributes building blocks towards </w:t>
      </w:r>
      <w:r w:rsidR="00DC0C4A">
        <w:rPr>
          <w:rFonts w:ascii="Arial" w:hAnsi="Arial" w:cs="Arial"/>
          <w:bCs/>
          <w:noProof/>
          <w:sz w:val="20"/>
          <w:szCs w:val="20"/>
          <w:lang w:val="en-GB"/>
        </w:rPr>
        <w:t>h</w:t>
      </w:r>
      <w:r w:rsidR="00DC0C4A" w:rsidRPr="005052D3">
        <w:rPr>
          <w:rFonts w:ascii="Arial" w:hAnsi="Arial" w:cs="Arial"/>
          <w:bCs/>
          <w:noProof/>
          <w:sz w:val="20"/>
          <w:szCs w:val="20"/>
          <w:lang w:val="en-GB"/>
        </w:rPr>
        <w:t>igh quality QSAR predictions that meet the requirements for regulatory acceptance</w:t>
      </w:r>
      <w:r w:rsidR="00DC0C4A">
        <w:rPr>
          <w:rFonts w:ascii="Arial" w:hAnsi="Arial" w:cs="Arial"/>
          <w:bCs/>
          <w:noProof/>
          <w:sz w:val="20"/>
          <w:szCs w:val="20"/>
          <w:lang w:val="en-GB"/>
        </w:rPr>
        <w:t xml:space="preserve">. </w:t>
      </w:r>
      <w:r w:rsidR="006F4DBE">
        <w:rPr>
          <w:rFonts w:ascii="Arial" w:hAnsi="Arial" w:cs="Arial"/>
          <w:bCs/>
          <w:noProof/>
          <w:sz w:val="20"/>
          <w:szCs w:val="20"/>
          <w:lang w:val="en-GB"/>
        </w:rPr>
        <w:t>Our</w:t>
      </w:r>
      <w:r w:rsidR="00D81E5A">
        <w:rPr>
          <w:rFonts w:ascii="Arial" w:hAnsi="Arial" w:cs="Arial"/>
          <w:bCs/>
          <w:noProof/>
          <w:sz w:val="20"/>
          <w:szCs w:val="20"/>
          <w:lang w:val="en-GB"/>
        </w:rPr>
        <w:t xml:space="preserve"> objective is to </w:t>
      </w:r>
      <w:r w:rsidR="00DC0C4A">
        <w:rPr>
          <w:rFonts w:ascii="Arial" w:hAnsi="Arial" w:cs="Arial"/>
          <w:bCs/>
          <w:noProof/>
          <w:sz w:val="20"/>
          <w:szCs w:val="20"/>
          <w:lang w:val="en-GB"/>
        </w:rPr>
        <w:t>develop u</w:t>
      </w:r>
      <w:r w:rsidR="00DC0C4A" w:rsidRPr="005052D3">
        <w:rPr>
          <w:rFonts w:ascii="Arial" w:hAnsi="Arial" w:cs="Arial"/>
          <w:bCs/>
          <w:noProof/>
          <w:sz w:val="20"/>
          <w:szCs w:val="20"/>
          <w:lang w:val="en-GB"/>
        </w:rPr>
        <w:t>ser guidance to select appropriate baseline QSARs for query compounds</w:t>
      </w:r>
      <w:r w:rsidR="00DC0C4A">
        <w:rPr>
          <w:rFonts w:ascii="Arial" w:hAnsi="Arial" w:cs="Arial"/>
          <w:bCs/>
          <w:noProof/>
          <w:sz w:val="20"/>
          <w:szCs w:val="20"/>
          <w:lang w:val="en-GB"/>
        </w:rPr>
        <w:t xml:space="preserve">. </w:t>
      </w:r>
      <w:r w:rsidR="00D81E5A">
        <w:rPr>
          <w:rFonts w:ascii="Arial" w:hAnsi="Arial" w:cs="Arial"/>
          <w:bCs/>
          <w:noProof/>
          <w:sz w:val="20"/>
          <w:szCs w:val="20"/>
          <w:lang w:val="en-GB"/>
        </w:rPr>
        <w:t>We suggest to r</w:t>
      </w:r>
      <w:r w:rsidR="00DC0C4A" w:rsidRPr="005052D3">
        <w:rPr>
          <w:rFonts w:ascii="Arial" w:hAnsi="Arial" w:cs="Arial"/>
          <w:bCs/>
          <w:noProof/>
          <w:sz w:val="20"/>
          <w:szCs w:val="20"/>
          <w:lang w:val="en-GB"/>
        </w:rPr>
        <w:t xml:space="preserve">eplace </w:t>
      </w:r>
      <w:r w:rsidR="00DC0C4A" w:rsidRPr="00D81E5A">
        <w:rPr>
          <w:rFonts w:ascii="Arial" w:hAnsi="Arial" w:cs="Arial"/>
          <w:bCs/>
          <w:i/>
          <w:noProof/>
          <w:sz w:val="20"/>
          <w:szCs w:val="20"/>
          <w:lang w:val="en-GB"/>
        </w:rPr>
        <w:t>in vivo</w:t>
      </w:r>
      <w:r w:rsidR="00DC0C4A" w:rsidRPr="005052D3">
        <w:rPr>
          <w:rFonts w:ascii="Arial" w:hAnsi="Arial" w:cs="Arial"/>
          <w:bCs/>
          <w:noProof/>
          <w:sz w:val="20"/>
          <w:szCs w:val="20"/>
          <w:lang w:val="en-GB"/>
        </w:rPr>
        <w:t xml:space="preserve"> </w:t>
      </w:r>
      <w:r w:rsidR="00D81E5A">
        <w:rPr>
          <w:rFonts w:ascii="Arial" w:hAnsi="Arial" w:cs="Arial"/>
          <w:bCs/>
          <w:noProof/>
          <w:sz w:val="20"/>
          <w:szCs w:val="20"/>
          <w:lang w:val="en-GB"/>
        </w:rPr>
        <w:t>fish acute toxicity</w:t>
      </w:r>
      <w:r w:rsidR="00DC0C4A" w:rsidRPr="005052D3">
        <w:rPr>
          <w:rFonts w:ascii="Arial" w:hAnsi="Arial" w:cs="Arial"/>
          <w:bCs/>
          <w:noProof/>
          <w:sz w:val="20"/>
          <w:szCs w:val="20"/>
          <w:lang w:val="en-GB"/>
        </w:rPr>
        <w:t xml:space="preserve"> tests for baseline toxicants with valid QSAR predictions</w:t>
      </w:r>
      <w:r w:rsidR="00D81E5A">
        <w:rPr>
          <w:rFonts w:ascii="Arial" w:hAnsi="Arial" w:cs="Arial"/>
          <w:bCs/>
          <w:noProof/>
          <w:sz w:val="20"/>
          <w:szCs w:val="20"/>
          <w:lang w:val="en-GB"/>
        </w:rPr>
        <w:t xml:space="preserve"> based on c</w:t>
      </w:r>
      <w:r w:rsidR="00D81E5A" w:rsidRPr="005052D3">
        <w:rPr>
          <w:rFonts w:ascii="Arial" w:hAnsi="Arial" w:cs="Arial"/>
          <w:bCs/>
          <w:noProof/>
          <w:sz w:val="20"/>
          <w:szCs w:val="20"/>
          <w:lang w:val="en-GB"/>
        </w:rPr>
        <w:t>lassification methods to discriminate between baseline and excess toxicants</w:t>
      </w:r>
      <w:r w:rsidR="00D81E5A">
        <w:rPr>
          <w:rFonts w:ascii="Arial" w:hAnsi="Arial" w:cs="Arial"/>
          <w:bCs/>
          <w:noProof/>
          <w:sz w:val="20"/>
          <w:szCs w:val="20"/>
          <w:lang w:val="en-GB"/>
        </w:rPr>
        <w:t xml:space="preserve">. </w:t>
      </w:r>
    </w:p>
    <w:p w14:paraId="4016EAD4" w14:textId="77777777" w:rsidR="001F4812" w:rsidRPr="005F5E84" w:rsidRDefault="001F4812" w:rsidP="00C54F4B">
      <w:pPr>
        <w:jc w:val="both"/>
        <w:rPr>
          <w:rFonts w:ascii="Arial" w:hAnsi="Arial" w:cs="Arial"/>
          <w:noProof/>
          <w:sz w:val="20"/>
          <w:szCs w:val="20"/>
          <w:lang w:val="en-GB"/>
        </w:rPr>
      </w:pPr>
    </w:p>
    <w:p w14:paraId="4A3BB084" w14:textId="77777777" w:rsidR="0095252A" w:rsidRPr="00B67AEF" w:rsidRDefault="00A07203" w:rsidP="004947BC">
      <w:pPr>
        <w:jc w:val="both"/>
        <w:rPr>
          <w:rFonts w:ascii="Arial" w:hAnsi="Arial" w:cs="Arial"/>
          <w:noProof/>
          <w:sz w:val="20"/>
          <w:szCs w:val="20"/>
          <w:lang w:val="en-GB"/>
        </w:rPr>
      </w:pPr>
      <w:r w:rsidRPr="005052D3">
        <w:rPr>
          <w:rFonts w:ascii="Arial" w:hAnsi="Arial" w:cs="Arial"/>
          <w:noProof/>
          <w:sz w:val="20"/>
          <w:szCs w:val="20"/>
          <w:lang w:val="en-US"/>
        </w:rPr>
        <w:t>Reliable</w:t>
      </w:r>
      <w:r w:rsidRPr="00AC2280">
        <w:rPr>
          <w:rFonts w:ascii="Arial" w:hAnsi="Arial" w:cs="Arial"/>
          <w:bCs/>
          <w:noProof/>
          <w:sz w:val="20"/>
          <w:szCs w:val="20"/>
          <w:lang w:val="en-GB"/>
        </w:rPr>
        <w:t xml:space="preserve"> </w:t>
      </w:r>
      <w:r w:rsidR="00AC2280" w:rsidRPr="00AC2280">
        <w:rPr>
          <w:rFonts w:ascii="Arial" w:hAnsi="Arial" w:cs="Arial"/>
          <w:bCs/>
          <w:noProof/>
          <w:sz w:val="20"/>
          <w:szCs w:val="20"/>
          <w:lang w:val="en-GB"/>
        </w:rPr>
        <w:t xml:space="preserve">QSAR predictions </w:t>
      </w:r>
      <w:r w:rsidR="004947BC" w:rsidRPr="004947BC">
        <w:rPr>
          <w:rFonts w:ascii="Arial" w:hAnsi="Arial" w:cs="Arial"/>
          <w:bCs/>
          <w:noProof/>
          <w:sz w:val="20"/>
          <w:szCs w:val="20"/>
          <w:lang w:val="en-US"/>
        </w:rPr>
        <w:t xml:space="preserve">consider </w:t>
      </w:r>
      <w:r w:rsidR="004947BC" w:rsidRPr="004947BC">
        <w:rPr>
          <w:rFonts w:ascii="Arial" w:hAnsi="Arial" w:cs="Arial"/>
          <w:bCs/>
          <w:noProof/>
          <w:sz w:val="20"/>
          <w:szCs w:val="20"/>
          <w:lang w:val="en-GB"/>
        </w:rPr>
        <w:t xml:space="preserve">(eco)toxicological </w:t>
      </w:r>
      <w:r w:rsidR="004947BC" w:rsidRPr="004947BC">
        <w:rPr>
          <w:rFonts w:ascii="Arial" w:hAnsi="Arial" w:cs="Arial"/>
          <w:bCs/>
          <w:noProof/>
          <w:sz w:val="20"/>
          <w:szCs w:val="20"/>
          <w:lang w:val="en-US"/>
        </w:rPr>
        <w:t xml:space="preserve">modes of action (MOA). </w:t>
      </w:r>
      <w:r w:rsidR="004947BC" w:rsidRPr="004947BC">
        <w:rPr>
          <w:rFonts w:ascii="Arial" w:hAnsi="Arial" w:cs="Arial"/>
          <w:noProof/>
          <w:sz w:val="20"/>
          <w:szCs w:val="20"/>
          <w:lang w:val="en-GB"/>
        </w:rPr>
        <w:t xml:space="preserve">Compounds belonging to different MOA classes are toxic in different ways and </w:t>
      </w:r>
      <w:r>
        <w:rPr>
          <w:rFonts w:ascii="Arial" w:hAnsi="Arial" w:cs="Arial"/>
          <w:noProof/>
          <w:sz w:val="20"/>
          <w:szCs w:val="20"/>
          <w:lang w:val="en-US"/>
        </w:rPr>
        <w:t>d</w:t>
      </w:r>
      <w:r w:rsidRPr="00A07203">
        <w:rPr>
          <w:rFonts w:ascii="Arial" w:hAnsi="Arial" w:cs="Arial"/>
          <w:noProof/>
          <w:sz w:val="20"/>
          <w:szCs w:val="20"/>
          <w:lang w:val="en-US"/>
        </w:rPr>
        <w:t xml:space="preserve">ifferent QSARs are needed </w:t>
      </w:r>
      <w:r>
        <w:rPr>
          <w:rFonts w:ascii="Arial" w:hAnsi="Arial" w:cs="Arial"/>
          <w:noProof/>
          <w:sz w:val="20"/>
          <w:szCs w:val="20"/>
          <w:lang w:val="en-US"/>
        </w:rPr>
        <w:t xml:space="preserve">to predict </w:t>
      </w:r>
      <w:r w:rsidR="004947BC" w:rsidRPr="004947BC">
        <w:rPr>
          <w:rFonts w:ascii="Arial" w:hAnsi="Arial" w:cs="Arial"/>
          <w:noProof/>
          <w:sz w:val="20"/>
          <w:szCs w:val="20"/>
          <w:lang w:val="en-GB"/>
        </w:rPr>
        <w:t>their ecotoxic effects. MOA is, however, not a constant property of a compound but it may vary between species and change with concentr</w:t>
      </w:r>
      <w:r w:rsidR="001E2FD9">
        <w:rPr>
          <w:rFonts w:ascii="Arial" w:hAnsi="Arial" w:cs="Arial"/>
          <w:noProof/>
          <w:sz w:val="20"/>
          <w:szCs w:val="20"/>
          <w:lang w:val="en-GB"/>
        </w:rPr>
        <w:t>ation and duration of exposure.</w:t>
      </w:r>
      <w:r w:rsidR="007227B9">
        <w:rPr>
          <w:rFonts w:ascii="Arial" w:hAnsi="Arial" w:cs="Arial"/>
          <w:noProof/>
          <w:sz w:val="20"/>
          <w:szCs w:val="20"/>
          <w:lang w:val="en-GB"/>
        </w:rPr>
        <w:t xml:space="preserve"> </w:t>
      </w:r>
      <w:r w:rsidR="007227B9" w:rsidRPr="005052D3">
        <w:rPr>
          <w:rFonts w:ascii="Arial" w:hAnsi="Arial" w:cs="Arial"/>
          <w:noProof/>
          <w:sz w:val="20"/>
          <w:szCs w:val="20"/>
          <w:lang w:val="en-US"/>
        </w:rPr>
        <w:t>The concept of functional similarity of chemicals combines (eco)toxicological knowledge (which toxicity pathways are stimulated in which species under which exposure conditions) with chemical expertise (which chemical (sub)structures and physicochemical properties are involved in which interactions) to discriminate betwee</w:t>
      </w:r>
      <w:r w:rsidR="0095252A">
        <w:rPr>
          <w:rFonts w:ascii="Arial" w:hAnsi="Arial" w:cs="Arial"/>
          <w:noProof/>
          <w:sz w:val="20"/>
          <w:szCs w:val="20"/>
          <w:lang w:val="en-US"/>
        </w:rPr>
        <w:t xml:space="preserve">n baseline and excess toxicants. </w:t>
      </w:r>
      <w:r w:rsidR="00B67AEF" w:rsidRPr="005052D3">
        <w:rPr>
          <w:rFonts w:ascii="Arial" w:hAnsi="Arial" w:cs="Arial"/>
          <w:noProof/>
          <w:sz w:val="20"/>
          <w:szCs w:val="20"/>
          <w:lang w:val="en-US"/>
        </w:rPr>
        <w:t xml:space="preserve">Only for baseline toxicants, it is possible to predict the fish acute toxicity with sufficient accuracy from log </w:t>
      </w:r>
      <w:r w:rsidR="00B67AEF" w:rsidRPr="005052D3">
        <w:rPr>
          <w:rFonts w:ascii="Arial" w:hAnsi="Arial" w:cs="Arial"/>
          <w:i/>
          <w:iCs/>
          <w:noProof/>
          <w:sz w:val="20"/>
          <w:szCs w:val="20"/>
          <w:lang w:val="en-US"/>
        </w:rPr>
        <w:t>K</w:t>
      </w:r>
      <w:r w:rsidR="00B67AEF" w:rsidRPr="005052D3">
        <w:rPr>
          <w:rFonts w:ascii="Arial" w:hAnsi="Arial" w:cs="Arial"/>
          <w:noProof/>
          <w:sz w:val="20"/>
          <w:szCs w:val="20"/>
          <w:vertAlign w:val="subscript"/>
          <w:lang w:val="en-US"/>
        </w:rPr>
        <w:t>ow</w:t>
      </w:r>
      <w:r w:rsidR="00B67AEF" w:rsidRPr="005052D3">
        <w:rPr>
          <w:rFonts w:ascii="Arial" w:hAnsi="Arial" w:cs="Arial"/>
          <w:noProof/>
          <w:sz w:val="20"/>
          <w:szCs w:val="20"/>
          <w:lang w:val="en-US"/>
        </w:rPr>
        <w:t xml:space="preserve"> and, hence, valid QSARs can replace</w:t>
      </w:r>
      <w:r w:rsidR="00B67AEF" w:rsidRPr="005052D3">
        <w:rPr>
          <w:rFonts w:ascii="Arial" w:hAnsi="Arial" w:cs="Arial"/>
          <w:i/>
          <w:iCs/>
          <w:noProof/>
          <w:sz w:val="20"/>
          <w:szCs w:val="20"/>
          <w:lang w:val="en-US"/>
        </w:rPr>
        <w:t xml:space="preserve"> in vivo</w:t>
      </w:r>
      <w:r w:rsidR="00B67AEF" w:rsidRPr="005052D3">
        <w:rPr>
          <w:rFonts w:ascii="Arial" w:hAnsi="Arial" w:cs="Arial"/>
          <w:noProof/>
          <w:sz w:val="20"/>
          <w:szCs w:val="20"/>
          <w:lang w:val="en-US"/>
        </w:rPr>
        <w:t xml:space="preserve"> testing. In contrast, excess toxicants, and chemicals not reliably classified as baseline toxicants, require further </w:t>
      </w:r>
      <w:r w:rsidR="00B67AEF" w:rsidRPr="005052D3">
        <w:rPr>
          <w:rFonts w:ascii="Arial" w:hAnsi="Arial" w:cs="Arial"/>
          <w:i/>
          <w:iCs/>
          <w:noProof/>
          <w:sz w:val="20"/>
          <w:szCs w:val="20"/>
          <w:lang w:val="en-US"/>
        </w:rPr>
        <w:t>in silico</w:t>
      </w:r>
      <w:r w:rsidR="00B67AEF" w:rsidRPr="005052D3">
        <w:rPr>
          <w:rFonts w:ascii="Arial" w:hAnsi="Arial" w:cs="Arial"/>
          <w:noProof/>
          <w:sz w:val="20"/>
          <w:szCs w:val="20"/>
          <w:lang w:val="en-US"/>
        </w:rPr>
        <w:t xml:space="preserve">, </w:t>
      </w:r>
      <w:r w:rsidR="00B67AEF" w:rsidRPr="005052D3">
        <w:rPr>
          <w:rFonts w:ascii="Arial" w:hAnsi="Arial" w:cs="Arial"/>
          <w:i/>
          <w:iCs/>
          <w:noProof/>
          <w:sz w:val="20"/>
          <w:szCs w:val="20"/>
          <w:lang w:val="en-US"/>
        </w:rPr>
        <w:t>in vitro</w:t>
      </w:r>
      <w:r w:rsidR="00B67AEF" w:rsidRPr="005052D3">
        <w:rPr>
          <w:rFonts w:ascii="Arial" w:hAnsi="Arial" w:cs="Arial"/>
          <w:noProof/>
          <w:sz w:val="20"/>
          <w:szCs w:val="20"/>
          <w:lang w:val="en-US"/>
        </w:rPr>
        <w:t xml:space="preserve"> or </w:t>
      </w:r>
      <w:r w:rsidR="00B67AEF" w:rsidRPr="005052D3">
        <w:rPr>
          <w:rFonts w:ascii="Arial" w:hAnsi="Arial" w:cs="Arial"/>
          <w:i/>
          <w:iCs/>
          <w:noProof/>
          <w:sz w:val="20"/>
          <w:szCs w:val="20"/>
          <w:lang w:val="en-US"/>
        </w:rPr>
        <w:t>in vivo</w:t>
      </w:r>
      <w:r w:rsidR="00B67AEF" w:rsidRPr="005052D3">
        <w:rPr>
          <w:rFonts w:ascii="Arial" w:hAnsi="Arial" w:cs="Arial"/>
          <w:noProof/>
          <w:sz w:val="20"/>
          <w:szCs w:val="20"/>
          <w:lang w:val="en-US"/>
        </w:rPr>
        <w:t xml:space="preserve"> assessments.</w:t>
      </w:r>
      <w:r w:rsidR="00B67AEF">
        <w:rPr>
          <w:rFonts w:ascii="Arial" w:hAnsi="Arial" w:cs="Arial"/>
          <w:noProof/>
          <w:sz w:val="20"/>
          <w:szCs w:val="20"/>
          <w:lang w:val="en-GB"/>
        </w:rPr>
        <w:t xml:space="preserve"> </w:t>
      </w:r>
      <w:r w:rsidR="0095252A">
        <w:rPr>
          <w:rFonts w:ascii="Arial" w:hAnsi="Arial" w:cs="Arial"/>
          <w:noProof/>
          <w:sz w:val="20"/>
          <w:szCs w:val="20"/>
          <w:lang w:val="en-US"/>
        </w:rPr>
        <w:t xml:space="preserve">We present </w:t>
      </w:r>
      <w:r w:rsidR="0095252A">
        <w:rPr>
          <w:rFonts w:ascii="Arial" w:hAnsi="Arial" w:cs="Arial"/>
          <w:bCs/>
          <w:noProof/>
          <w:sz w:val="20"/>
          <w:szCs w:val="20"/>
          <w:lang w:val="en-US"/>
        </w:rPr>
        <w:t>a</w:t>
      </w:r>
      <w:r w:rsidR="0095252A" w:rsidRPr="005052D3">
        <w:rPr>
          <w:rFonts w:ascii="Arial" w:hAnsi="Arial" w:cs="Arial"/>
          <w:bCs/>
          <w:noProof/>
          <w:sz w:val="20"/>
          <w:szCs w:val="20"/>
          <w:lang w:val="en-US"/>
        </w:rPr>
        <w:t xml:space="preserve"> stepwise approach</w:t>
      </w:r>
      <w:r w:rsidR="0095252A">
        <w:rPr>
          <w:rFonts w:ascii="Arial" w:hAnsi="Arial" w:cs="Arial"/>
          <w:bCs/>
          <w:noProof/>
          <w:sz w:val="20"/>
          <w:szCs w:val="20"/>
          <w:lang w:val="en-US"/>
        </w:rPr>
        <w:t xml:space="preserve"> </w:t>
      </w:r>
      <w:r w:rsidR="0095252A" w:rsidRPr="005052D3">
        <w:rPr>
          <w:rFonts w:ascii="Arial" w:hAnsi="Arial" w:cs="Arial"/>
          <w:bCs/>
          <w:noProof/>
          <w:sz w:val="20"/>
          <w:szCs w:val="20"/>
          <w:lang w:val="en-US"/>
        </w:rPr>
        <w:t xml:space="preserve">to identify </w:t>
      </w:r>
      <w:r w:rsidR="00E63D3C">
        <w:rPr>
          <w:rFonts w:ascii="Arial" w:hAnsi="Arial" w:cs="Arial"/>
          <w:bCs/>
          <w:noProof/>
          <w:sz w:val="20"/>
          <w:szCs w:val="20"/>
          <w:lang w:val="en-US"/>
        </w:rPr>
        <w:t xml:space="preserve">more than </w:t>
      </w:r>
      <w:r w:rsidR="0095252A">
        <w:rPr>
          <w:rFonts w:ascii="Arial" w:hAnsi="Arial" w:cs="Arial"/>
          <w:bCs/>
          <w:noProof/>
          <w:sz w:val="20"/>
          <w:szCs w:val="20"/>
          <w:lang w:val="en-US"/>
        </w:rPr>
        <w:t>50</w:t>
      </w:r>
      <w:r w:rsidR="0005388A">
        <w:rPr>
          <w:rFonts w:ascii="Arial" w:hAnsi="Arial" w:cs="Arial"/>
          <w:bCs/>
          <w:noProof/>
          <w:sz w:val="20"/>
          <w:szCs w:val="20"/>
          <w:lang w:val="en-US"/>
        </w:rPr>
        <w:t> </w:t>
      </w:r>
      <w:r w:rsidR="0095252A">
        <w:rPr>
          <w:rFonts w:ascii="Arial" w:hAnsi="Arial" w:cs="Arial"/>
          <w:bCs/>
          <w:noProof/>
          <w:sz w:val="20"/>
          <w:szCs w:val="20"/>
          <w:lang w:val="en-US"/>
        </w:rPr>
        <w:t xml:space="preserve">% </w:t>
      </w:r>
      <w:r w:rsidR="0095252A" w:rsidRPr="005052D3">
        <w:rPr>
          <w:rFonts w:ascii="Arial" w:hAnsi="Arial" w:cs="Arial"/>
          <w:bCs/>
          <w:noProof/>
          <w:sz w:val="20"/>
          <w:szCs w:val="20"/>
          <w:lang w:val="en-US"/>
        </w:rPr>
        <w:t xml:space="preserve">baseline toxicants in a precautionary way, not ignoring possible excess toxicants. At the same time, we tolerate a certain fraction of false positives, i.e. baseline toxicants without specific effects that may </w:t>
      </w:r>
      <w:r w:rsidR="000D24EA">
        <w:rPr>
          <w:rFonts w:ascii="Arial" w:hAnsi="Arial" w:cs="Arial"/>
          <w:bCs/>
          <w:noProof/>
          <w:sz w:val="20"/>
          <w:szCs w:val="20"/>
          <w:lang w:val="en-US"/>
        </w:rPr>
        <w:t xml:space="preserve">be directed to testing instead of QSAR </w:t>
      </w:r>
      <w:r w:rsidR="0095252A" w:rsidRPr="005052D3">
        <w:rPr>
          <w:rFonts w:ascii="Arial" w:hAnsi="Arial" w:cs="Arial"/>
          <w:bCs/>
          <w:noProof/>
          <w:sz w:val="20"/>
          <w:szCs w:val="20"/>
          <w:lang w:val="en-US"/>
        </w:rPr>
        <w:t>predict</w:t>
      </w:r>
      <w:r w:rsidR="000D24EA">
        <w:rPr>
          <w:rFonts w:ascii="Arial" w:hAnsi="Arial" w:cs="Arial"/>
          <w:bCs/>
          <w:noProof/>
          <w:sz w:val="20"/>
          <w:szCs w:val="20"/>
          <w:lang w:val="en-US"/>
        </w:rPr>
        <w:t>ions</w:t>
      </w:r>
      <w:r w:rsidR="0095252A" w:rsidRPr="005052D3">
        <w:rPr>
          <w:rFonts w:ascii="Arial" w:hAnsi="Arial" w:cs="Arial"/>
          <w:bCs/>
          <w:noProof/>
          <w:sz w:val="20"/>
          <w:szCs w:val="20"/>
          <w:lang w:val="en-US"/>
        </w:rPr>
        <w:t xml:space="preserve">. </w:t>
      </w:r>
    </w:p>
    <w:p w14:paraId="6EEF8833" w14:textId="77777777" w:rsidR="00C54F4B" w:rsidRPr="00AC2280" w:rsidRDefault="00C54F4B" w:rsidP="00C54F4B">
      <w:pPr>
        <w:jc w:val="both"/>
        <w:rPr>
          <w:rFonts w:ascii="Arial" w:hAnsi="Arial" w:cs="Arial"/>
          <w:noProof/>
          <w:sz w:val="20"/>
          <w:szCs w:val="20"/>
          <w:lang w:val="en-GB"/>
        </w:rPr>
      </w:pPr>
    </w:p>
    <w:p w14:paraId="7648FAF8" w14:textId="4F026659" w:rsidR="00131208" w:rsidRPr="006F4DBE" w:rsidRDefault="0081015A" w:rsidP="0081015A">
      <w:pPr>
        <w:jc w:val="both"/>
        <w:rPr>
          <w:rFonts w:ascii="Arial" w:hAnsi="Arial" w:cs="Arial"/>
          <w:noProof/>
          <w:sz w:val="20"/>
          <w:szCs w:val="20"/>
          <w:lang w:val="en-US"/>
        </w:rPr>
      </w:pPr>
      <w:r w:rsidRPr="00D87E2B">
        <w:rPr>
          <w:rFonts w:ascii="Arial" w:hAnsi="Arial" w:cs="Arial"/>
          <w:noProof/>
          <w:sz w:val="20"/>
          <w:szCs w:val="20"/>
          <w:lang w:val="en-GB"/>
        </w:rPr>
        <w:t xml:space="preserve">The next step is a classification scheme </w:t>
      </w:r>
      <w:r w:rsidRPr="00D87E2B">
        <w:rPr>
          <w:rFonts w:ascii="Arial" w:hAnsi="Arial" w:cs="Arial"/>
          <w:bCs/>
          <w:noProof/>
          <w:sz w:val="20"/>
          <w:szCs w:val="20"/>
          <w:lang w:val="en-GB"/>
        </w:rPr>
        <w:t>to discriminate</w:t>
      </w:r>
      <w:r w:rsidRPr="00D87E2B">
        <w:rPr>
          <w:rFonts w:ascii="Arial" w:hAnsi="Arial" w:cs="Arial"/>
          <w:noProof/>
          <w:sz w:val="20"/>
          <w:szCs w:val="20"/>
          <w:lang w:val="en-GB"/>
        </w:rPr>
        <w:t xml:space="preserve"> specific MOA classes. A promising hierarchical approach is based on Weight-of-Evidence (WoE) from multiple criteria like structural features related to receptor binding affinities, physico-chemical descriptors describing bioavailabilities at target sites and sophisticated profiler like the OECD Toolbox.</w:t>
      </w:r>
      <w:r>
        <w:rPr>
          <w:rFonts w:ascii="Arial" w:hAnsi="Arial" w:cs="Arial"/>
          <w:noProof/>
          <w:sz w:val="20"/>
          <w:szCs w:val="20"/>
          <w:lang w:val="en-GB"/>
        </w:rPr>
        <w:t xml:space="preserve"> </w:t>
      </w:r>
      <w:r w:rsidR="00955165">
        <w:rPr>
          <w:rFonts w:ascii="Arial" w:hAnsi="Arial" w:cs="Arial"/>
          <w:noProof/>
          <w:sz w:val="20"/>
          <w:szCs w:val="20"/>
          <w:lang w:val="en-GB"/>
        </w:rPr>
        <w:t>F</w:t>
      </w:r>
      <w:r w:rsidR="00955165" w:rsidRPr="00955165">
        <w:rPr>
          <w:rFonts w:ascii="Arial" w:hAnsi="Arial" w:cs="Arial"/>
          <w:noProof/>
          <w:sz w:val="20"/>
          <w:szCs w:val="20"/>
          <w:lang w:val="en-GB"/>
        </w:rPr>
        <w:t xml:space="preserve">all-back loops </w:t>
      </w:r>
      <w:r w:rsidR="00955165">
        <w:rPr>
          <w:rFonts w:ascii="Arial" w:hAnsi="Arial" w:cs="Arial"/>
          <w:noProof/>
          <w:sz w:val="20"/>
          <w:szCs w:val="20"/>
          <w:lang w:val="en-GB"/>
        </w:rPr>
        <w:t xml:space="preserve">are needed </w:t>
      </w:r>
      <w:r w:rsidR="00955165" w:rsidRPr="00955165">
        <w:rPr>
          <w:rFonts w:ascii="Arial" w:hAnsi="Arial" w:cs="Arial"/>
          <w:noProof/>
          <w:sz w:val="20"/>
          <w:szCs w:val="20"/>
          <w:lang w:val="en-GB"/>
        </w:rPr>
        <w:t xml:space="preserve">to </w:t>
      </w:r>
      <w:r w:rsidR="00143FE1" w:rsidRPr="005052D3">
        <w:rPr>
          <w:rFonts w:ascii="Arial" w:hAnsi="Arial" w:cs="Arial"/>
          <w:noProof/>
          <w:sz w:val="20"/>
          <w:szCs w:val="20"/>
          <w:lang w:val="en-US"/>
        </w:rPr>
        <w:t>account for</w:t>
      </w:r>
      <w:r w:rsidR="00955165">
        <w:rPr>
          <w:rFonts w:ascii="Arial" w:hAnsi="Arial" w:cs="Arial"/>
          <w:noProof/>
          <w:sz w:val="20"/>
          <w:szCs w:val="20"/>
          <w:lang w:val="en-US"/>
        </w:rPr>
        <w:t xml:space="preserve"> </w:t>
      </w:r>
      <w:r w:rsidR="00955165">
        <w:rPr>
          <w:rFonts w:ascii="Arial" w:hAnsi="Arial" w:cs="Arial"/>
          <w:noProof/>
          <w:sz w:val="20"/>
          <w:szCs w:val="20"/>
          <w:lang w:val="en-GB"/>
        </w:rPr>
        <w:t>m</w:t>
      </w:r>
      <w:r w:rsidR="00955165" w:rsidRPr="005052D3">
        <w:rPr>
          <w:rFonts w:ascii="Arial" w:hAnsi="Arial" w:cs="Arial"/>
          <w:noProof/>
          <w:sz w:val="20"/>
          <w:szCs w:val="20"/>
          <w:lang w:val="en-US"/>
        </w:rPr>
        <w:t>ultiple MOAs</w:t>
      </w:r>
      <w:r w:rsidR="00143FE1" w:rsidRPr="005052D3">
        <w:rPr>
          <w:rFonts w:ascii="Arial" w:hAnsi="Arial" w:cs="Arial"/>
          <w:noProof/>
          <w:sz w:val="20"/>
          <w:szCs w:val="20"/>
          <w:lang w:val="en-US"/>
        </w:rPr>
        <w:t>.</w:t>
      </w:r>
      <w:r w:rsidR="00D81E5A">
        <w:rPr>
          <w:rFonts w:ascii="Arial" w:hAnsi="Arial" w:cs="Arial"/>
          <w:noProof/>
          <w:sz w:val="20"/>
          <w:szCs w:val="20"/>
          <w:lang w:val="en-US"/>
        </w:rPr>
        <w:t xml:space="preserve"> </w:t>
      </w:r>
      <w:r w:rsidR="00D81E5A">
        <w:rPr>
          <w:rFonts w:ascii="Arial" w:hAnsi="Arial" w:cs="Arial"/>
          <w:noProof/>
          <w:sz w:val="20"/>
          <w:szCs w:val="20"/>
          <w:lang w:val="en-GB"/>
        </w:rPr>
        <w:t xml:space="preserve">An important aspect is to include ionisable substances. </w:t>
      </w:r>
      <w:r w:rsidR="00D81E5A" w:rsidRPr="005052D3">
        <w:rPr>
          <w:rFonts w:ascii="Arial" w:hAnsi="Arial" w:cs="Arial"/>
          <w:noProof/>
          <w:sz w:val="20"/>
          <w:szCs w:val="20"/>
          <w:lang w:val="en-US"/>
        </w:rPr>
        <w:t>Fine-tuning the system in an iterative process will optimize its performance.</w:t>
      </w:r>
    </w:p>
    <w:sectPr w:rsidR="00131208" w:rsidRPr="006F4DBE"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207BAA"/>
    <w:multiLevelType w:val="hybridMultilevel"/>
    <w:tmpl w:val="FC202432"/>
    <w:lvl w:ilvl="0" w:tplc="1B889240">
      <w:start w:val="1"/>
      <w:numFmt w:val="bullet"/>
      <w:lvlText w:val="•"/>
      <w:lvlJc w:val="left"/>
      <w:pPr>
        <w:tabs>
          <w:tab w:val="num" w:pos="720"/>
        </w:tabs>
        <w:ind w:left="720" w:hanging="360"/>
      </w:pPr>
      <w:rPr>
        <w:rFonts w:ascii="Arial" w:hAnsi="Arial" w:hint="default"/>
      </w:rPr>
    </w:lvl>
    <w:lvl w:ilvl="1" w:tplc="21D2E23A" w:tentative="1">
      <w:start w:val="1"/>
      <w:numFmt w:val="bullet"/>
      <w:lvlText w:val="•"/>
      <w:lvlJc w:val="left"/>
      <w:pPr>
        <w:tabs>
          <w:tab w:val="num" w:pos="1440"/>
        </w:tabs>
        <w:ind w:left="1440" w:hanging="360"/>
      </w:pPr>
      <w:rPr>
        <w:rFonts w:ascii="Arial" w:hAnsi="Arial" w:hint="default"/>
      </w:rPr>
    </w:lvl>
    <w:lvl w:ilvl="2" w:tplc="496E652E" w:tentative="1">
      <w:start w:val="1"/>
      <w:numFmt w:val="bullet"/>
      <w:lvlText w:val="•"/>
      <w:lvlJc w:val="left"/>
      <w:pPr>
        <w:tabs>
          <w:tab w:val="num" w:pos="2160"/>
        </w:tabs>
        <w:ind w:left="2160" w:hanging="360"/>
      </w:pPr>
      <w:rPr>
        <w:rFonts w:ascii="Arial" w:hAnsi="Arial" w:hint="default"/>
      </w:rPr>
    </w:lvl>
    <w:lvl w:ilvl="3" w:tplc="32FEA940" w:tentative="1">
      <w:start w:val="1"/>
      <w:numFmt w:val="bullet"/>
      <w:lvlText w:val="•"/>
      <w:lvlJc w:val="left"/>
      <w:pPr>
        <w:tabs>
          <w:tab w:val="num" w:pos="2880"/>
        </w:tabs>
        <w:ind w:left="2880" w:hanging="360"/>
      </w:pPr>
      <w:rPr>
        <w:rFonts w:ascii="Arial" w:hAnsi="Arial" w:hint="default"/>
      </w:rPr>
    </w:lvl>
    <w:lvl w:ilvl="4" w:tplc="6AFCBC50" w:tentative="1">
      <w:start w:val="1"/>
      <w:numFmt w:val="bullet"/>
      <w:lvlText w:val="•"/>
      <w:lvlJc w:val="left"/>
      <w:pPr>
        <w:tabs>
          <w:tab w:val="num" w:pos="3600"/>
        </w:tabs>
        <w:ind w:left="3600" w:hanging="360"/>
      </w:pPr>
      <w:rPr>
        <w:rFonts w:ascii="Arial" w:hAnsi="Arial" w:hint="default"/>
      </w:rPr>
    </w:lvl>
    <w:lvl w:ilvl="5" w:tplc="BC000310" w:tentative="1">
      <w:start w:val="1"/>
      <w:numFmt w:val="bullet"/>
      <w:lvlText w:val="•"/>
      <w:lvlJc w:val="left"/>
      <w:pPr>
        <w:tabs>
          <w:tab w:val="num" w:pos="4320"/>
        </w:tabs>
        <w:ind w:left="4320" w:hanging="360"/>
      </w:pPr>
      <w:rPr>
        <w:rFonts w:ascii="Arial" w:hAnsi="Arial" w:hint="default"/>
      </w:rPr>
    </w:lvl>
    <w:lvl w:ilvl="6" w:tplc="DA22CB50" w:tentative="1">
      <w:start w:val="1"/>
      <w:numFmt w:val="bullet"/>
      <w:lvlText w:val="•"/>
      <w:lvlJc w:val="left"/>
      <w:pPr>
        <w:tabs>
          <w:tab w:val="num" w:pos="5040"/>
        </w:tabs>
        <w:ind w:left="5040" w:hanging="360"/>
      </w:pPr>
      <w:rPr>
        <w:rFonts w:ascii="Arial" w:hAnsi="Arial" w:hint="default"/>
      </w:rPr>
    </w:lvl>
    <w:lvl w:ilvl="7" w:tplc="56741C70" w:tentative="1">
      <w:start w:val="1"/>
      <w:numFmt w:val="bullet"/>
      <w:lvlText w:val="•"/>
      <w:lvlJc w:val="left"/>
      <w:pPr>
        <w:tabs>
          <w:tab w:val="num" w:pos="5760"/>
        </w:tabs>
        <w:ind w:left="5760" w:hanging="360"/>
      </w:pPr>
      <w:rPr>
        <w:rFonts w:ascii="Arial" w:hAnsi="Arial" w:hint="default"/>
      </w:rPr>
    </w:lvl>
    <w:lvl w:ilvl="8" w:tplc="5F18B132" w:tentative="1">
      <w:start w:val="1"/>
      <w:numFmt w:val="bullet"/>
      <w:lvlText w:val="•"/>
      <w:lvlJc w:val="left"/>
      <w:pPr>
        <w:tabs>
          <w:tab w:val="num" w:pos="6480"/>
        </w:tabs>
        <w:ind w:left="6480" w:hanging="360"/>
      </w:pPr>
      <w:rPr>
        <w:rFonts w:ascii="Arial" w:hAnsi="Arial" w:hint="default"/>
      </w:rPr>
    </w:lvl>
  </w:abstractNum>
  <w:abstractNum w:abstractNumId="2">
    <w:nsid w:val="2ACA4570"/>
    <w:multiLevelType w:val="hybridMultilevel"/>
    <w:tmpl w:val="26481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405719"/>
    <w:multiLevelType w:val="hybridMultilevel"/>
    <w:tmpl w:val="64E415FA"/>
    <w:lvl w:ilvl="0" w:tplc="70FE60A0">
      <w:start w:val="1"/>
      <w:numFmt w:val="bullet"/>
      <w:lvlText w:val="•"/>
      <w:lvlJc w:val="left"/>
      <w:pPr>
        <w:tabs>
          <w:tab w:val="num" w:pos="720"/>
        </w:tabs>
        <w:ind w:left="720" w:hanging="360"/>
      </w:pPr>
      <w:rPr>
        <w:rFonts w:ascii="Arial" w:hAnsi="Arial" w:hint="default"/>
      </w:rPr>
    </w:lvl>
    <w:lvl w:ilvl="1" w:tplc="6E90ECDC" w:tentative="1">
      <w:start w:val="1"/>
      <w:numFmt w:val="bullet"/>
      <w:lvlText w:val="•"/>
      <w:lvlJc w:val="left"/>
      <w:pPr>
        <w:tabs>
          <w:tab w:val="num" w:pos="1440"/>
        </w:tabs>
        <w:ind w:left="1440" w:hanging="360"/>
      </w:pPr>
      <w:rPr>
        <w:rFonts w:ascii="Arial" w:hAnsi="Arial" w:hint="default"/>
      </w:rPr>
    </w:lvl>
    <w:lvl w:ilvl="2" w:tplc="3466B9A2" w:tentative="1">
      <w:start w:val="1"/>
      <w:numFmt w:val="bullet"/>
      <w:lvlText w:val="•"/>
      <w:lvlJc w:val="left"/>
      <w:pPr>
        <w:tabs>
          <w:tab w:val="num" w:pos="2160"/>
        </w:tabs>
        <w:ind w:left="2160" w:hanging="360"/>
      </w:pPr>
      <w:rPr>
        <w:rFonts w:ascii="Arial" w:hAnsi="Arial" w:hint="default"/>
      </w:rPr>
    </w:lvl>
    <w:lvl w:ilvl="3" w:tplc="33C8E7A0" w:tentative="1">
      <w:start w:val="1"/>
      <w:numFmt w:val="bullet"/>
      <w:lvlText w:val="•"/>
      <w:lvlJc w:val="left"/>
      <w:pPr>
        <w:tabs>
          <w:tab w:val="num" w:pos="2880"/>
        </w:tabs>
        <w:ind w:left="2880" w:hanging="360"/>
      </w:pPr>
      <w:rPr>
        <w:rFonts w:ascii="Arial" w:hAnsi="Arial" w:hint="default"/>
      </w:rPr>
    </w:lvl>
    <w:lvl w:ilvl="4" w:tplc="90488612" w:tentative="1">
      <w:start w:val="1"/>
      <w:numFmt w:val="bullet"/>
      <w:lvlText w:val="•"/>
      <w:lvlJc w:val="left"/>
      <w:pPr>
        <w:tabs>
          <w:tab w:val="num" w:pos="3600"/>
        </w:tabs>
        <w:ind w:left="3600" w:hanging="360"/>
      </w:pPr>
      <w:rPr>
        <w:rFonts w:ascii="Arial" w:hAnsi="Arial" w:hint="default"/>
      </w:rPr>
    </w:lvl>
    <w:lvl w:ilvl="5" w:tplc="F1E20CF4" w:tentative="1">
      <w:start w:val="1"/>
      <w:numFmt w:val="bullet"/>
      <w:lvlText w:val="•"/>
      <w:lvlJc w:val="left"/>
      <w:pPr>
        <w:tabs>
          <w:tab w:val="num" w:pos="4320"/>
        </w:tabs>
        <w:ind w:left="4320" w:hanging="360"/>
      </w:pPr>
      <w:rPr>
        <w:rFonts w:ascii="Arial" w:hAnsi="Arial" w:hint="default"/>
      </w:rPr>
    </w:lvl>
    <w:lvl w:ilvl="6" w:tplc="428C8892" w:tentative="1">
      <w:start w:val="1"/>
      <w:numFmt w:val="bullet"/>
      <w:lvlText w:val="•"/>
      <w:lvlJc w:val="left"/>
      <w:pPr>
        <w:tabs>
          <w:tab w:val="num" w:pos="5040"/>
        </w:tabs>
        <w:ind w:left="5040" w:hanging="360"/>
      </w:pPr>
      <w:rPr>
        <w:rFonts w:ascii="Arial" w:hAnsi="Arial" w:hint="default"/>
      </w:rPr>
    </w:lvl>
    <w:lvl w:ilvl="7" w:tplc="B726A444" w:tentative="1">
      <w:start w:val="1"/>
      <w:numFmt w:val="bullet"/>
      <w:lvlText w:val="•"/>
      <w:lvlJc w:val="left"/>
      <w:pPr>
        <w:tabs>
          <w:tab w:val="num" w:pos="5760"/>
        </w:tabs>
        <w:ind w:left="5760" w:hanging="360"/>
      </w:pPr>
      <w:rPr>
        <w:rFonts w:ascii="Arial" w:hAnsi="Arial" w:hint="default"/>
      </w:rPr>
    </w:lvl>
    <w:lvl w:ilvl="8" w:tplc="462671FE"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349F2"/>
    <w:rsid w:val="0005388A"/>
    <w:rsid w:val="000D24EA"/>
    <w:rsid w:val="000F7DDD"/>
    <w:rsid w:val="00125656"/>
    <w:rsid w:val="00131208"/>
    <w:rsid w:val="00143FE1"/>
    <w:rsid w:val="001A6F72"/>
    <w:rsid w:val="001E2FD9"/>
    <w:rsid w:val="001F4812"/>
    <w:rsid w:val="002328C0"/>
    <w:rsid w:val="00241318"/>
    <w:rsid w:val="002E51B0"/>
    <w:rsid w:val="00377AB6"/>
    <w:rsid w:val="003C7439"/>
    <w:rsid w:val="00455675"/>
    <w:rsid w:val="00455DBB"/>
    <w:rsid w:val="004947BC"/>
    <w:rsid w:val="004B2CE5"/>
    <w:rsid w:val="004E7634"/>
    <w:rsid w:val="004F3F40"/>
    <w:rsid w:val="005052D3"/>
    <w:rsid w:val="00526C32"/>
    <w:rsid w:val="00536439"/>
    <w:rsid w:val="00591813"/>
    <w:rsid w:val="005E6421"/>
    <w:rsid w:val="005F5E84"/>
    <w:rsid w:val="006F4DBE"/>
    <w:rsid w:val="007227B9"/>
    <w:rsid w:val="00757F9E"/>
    <w:rsid w:val="0081015A"/>
    <w:rsid w:val="008C47B6"/>
    <w:rsid w:val="008C7FA1"/>
    <w:rsid w:val="008E1BB9"/>
    <w:rsid w:val="009322EF"/>
    <w:rsid w:val="0095252A"/>
    <w:rsid w:val="00955165"/>
    <w:rsid w:val="0096115B"/>
    <w:rsid w:val="00987BE9"/>
    <w:rsid w:val="009B473C"/>
    <w:rsid w:val="00A02B21"/>
    <w:rsid w:val="00A07203"/>
    <w:rsid w:val="00A34C75"/>
    <w:rsid w:val="00A377E4"/>
    <w:rsid w:val="00A4450B"/>
    <w:rsid w:val="00AC2280"/>
    <w:rsid w:val="00B10E8D"/>
    <w:rsid w:val="00B44855"/>
    <w:rsid w:val="00B67AEF"/>
    <w:rsid w:val="00BB51C3"/>
    <w:rsid w:val="00BC00B8"/>
    <w:rsid w:val="00BE28D6"/>
    <w:rsid w:val="00C22D80"/>
    <w:rsid w:val="00C40A2E"/>
    <w:rsid w:val="00C54F4B"/>
    <w:rsid w:val="00C86102"/>
    <w:rsid w:val="00D2223F"/>
    <w:rsid w:val="00D7671C"/>
    <w:rsid w:val="00D81E5A"/>
    <w:rsid w:val="00D87E2B"/>
    <w:rsid w:val="00DC0C4A"/>
    <w:rsid w:val="00DD662B"/>
    <w:rsid w:val="00DF6705"/>
    <w:rsid w:val="00E05237"/>
    <w:rsid w:val="00E63D3C"/>
    <w:rsid w:val="00F023DE"/>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89A30"/>
  <w15:docId w15:val="{FA79F711-C466-4C6E-9C22-3831B6F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BC00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0B8"/>
    <w:rPr>
      <w:rFonts w:ascii="Segoe UI" w:hAnsi="Segoe UI" w:cs="Segoe UI"/>
      <w:sz w:val="18"/>
      <w:szCs w:val="18"/>
    </w:rPr>
  </w:style>
  <w:style w:type="character" w:styleId="Kommentarzeichen">
    <w:name w:val="annotation reference"/>
    <w:basedOn w:val="Absatz-Standardschriftart"/>
    <w:uiPriority w:val="99"/>
    <w:semiHidden/>
    <w:unhideWhenUsed/>
    <w:rsid w:val="009322EF"/>
    <w:rPr>
      <w:sz w:val="16"/>
      <w:szCs w:val="16"/>
    </w:rPr>
  </w:style>
  <w:style w:type="paragraph" w:styleId="Kommentartext">
    <w:name w:val="annotation text"/>
    <w:basedOn w:val="Standard"/>
    <w:link w:val="KommentartextZchn"/>
    <w:uiPriority w:val="99"/>
    <w:semiHidden/>
    <w:unhideWhenUsed/>
    <w:rsid w:val="009322EF"/>
    <w:rPr>
      <w:sz w:val="20"/>
      <w:szCs w:val="20"/>
    </w:rPr>
  </w:style>
  <w:style w:type="character" w:customStyle="1" w:styleId="KommentartextZchn">
    <w:name w:val="Kommentartext Zchn"/>
    <w:basedOn w:val="Absatz-Standardschriftart"/>
    <w:link w:val="Kommentartext"/>
    <w:uiPriority w:val="99"/>
    <w:semiHidden/>
    <w:rsid w:val="009322EF"/>
  </w:style>
  <w:style w:type="paragraph" w:styleId="Kommentarthema">
    <w:name w:val="annotation subject"/>
    <w:basedOn w:val="Kommentartext"/>
    <w:next w:val="Kommentartext"/>
    <w:link w:val="KommentarthemaZchn"/>
    <w:uiPriority w:val="99"/>
    <w:semiHidden/>
    <w:unhideWhenUsed/>
    <w:rsid w:val="009322EF"/>
    <w:rPr>
      <w:b/>
      <w:bCs/>
    </w:rPr>
  </w:style>
  <w:style w:type="character" w:customStyle="1" w:styleId="KommentarthemaZchn">
    <w:name w:val="Kommentarthema Zchn"/>
    <w:basedOn w:val="KommentartextZchn"/>
    <w:link w:val="Kommentarthema"/>
    <w:uiPriority w:val="99"/>
    <w:semiHidden/>
    <w:rsid w:val="00932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Wenzel@ime.fraunhof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mueller@ime.fraunhofer.de" TargetMode="External"/><Relationship Id="rId5" Type="http://schemas.openxmlformats.org/officeDocument/2006/relationships/hyperlink" Target="mailto:nendza@al-luhnstedt.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3354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Monika Nendza</cp:lastModifiedBy>
  <cp:revision>6</cp:revision>
  <cp:lastPrinted>2015-04-27T07:06:00Z</cp:lastPrinted>
  <dcterms:created xsi:type="dcterms:W3CDTF">2015-04-23T07:05:00Z</dcterms:created>
  <dcterms:modified xsi:type="dcterms:W3CDTF">2015-04-27T07:12:00Z</dcterms:modified>
</cp:coreProperties>
</file>